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78"/>
        <w:gridCol w:w="4860"/>
      </w:tblGrid>
      <w:tr w:rsidR="0068088E" w:rsidTr="0068088E">
        <w:tc>
          <w:tcPr>
            <w:tcW w:w="4918" w:type="dxa"/>
          </w:tcPr>
          <w:p w:rsidR="0068088E" w:rsidRDefault="0068088E">
            <w:pPr>
              <w:ind w:right="480"/>
              <w:jc w:val="center"/>
            </w:pPr>
          </w:p>
        </w:tc>
        <w:tc>
          <w:tcPr>
            <w:tcW w:w="4936" w:type="dxa"/>
          </w:tcPr>
          <w:p w:rsidR="0068088E" w:rsidRDefault="0068088E">
            <w:pPr>
              <w:ind w:left="1280" w:hanging="708"/>
              <w:rPr>
                <w:lang w:val="lt-LT"/>
              </w:rPr>
            </w:pPr>
            <w:r>
              <w:rPr>
                <w:lang w:val="lt-LT"/>
              </w:rPr>
              <w:t>PATVIRTINTA</w:t>
            </w:r>
          </w:p>
          <w:p w:rsidR="0068088E" w:rsidRDefault="0068088E">
            <w:pPr>
              <w:ind w:left="572"/>
              <w:rPr>
                <w:lang w:val="lt-LT"/>
              </w:rPr>
            </w:pPr>
            <w:r>
              <w:rPr>
                <w:lang w:val="lt-LT"/>
              </w:rPr>
              <w:t>Palangos lopšelio-darželio ,,Sigutė“ direktoriaus 201</w:t>
            </w:r>
            <w:r w:rsidR="004B6CCB">
              <w:rPr>
                <w:lang w:val="lt-LT"/>
              </w:rPr>
              <w:t>9</w:t>
            </w:r>
            <w:r>
              <w:rPr>
                <w:lang w:val="lt-LT"/>
              </w:rPr>
              <w:t xml:space="preserve"> m. </w:t>
            </w:r>
            <w:r w:rsidR="004B6CCB">
              <w:rPr>
                <w:lang w:val="lt-LT"/>
              </w:rPr>
              <w:t>gegužės</w:t>
            </w:r>
            <w:r>
              <w:rPr>
                <w:lang w:val="lt-LT"/>
              </w:rPr>
              <w:t xml:space="preserve"> 2</w:t>
            </w:r>
            <w:r w:rsidR="006611BE">
              <w:rPr>
                <w:lang w:val="lt-LT"/>
              </w:rPr>
              <w:t>7</w:t>
            </w:r>
            <w:r>
              <w:rPr>
                <w:lang w:val="lt-LT"/>
              </w:rPr>
              <w:t xml:space="preserve"> d.</w:t>
            </w:r>
          </w:p>
          <w:p w:rsidR="0068088E" w:rsidRDefault="003C64FD">
            <w:pPr>
              <w:ind w:left="1280" w:hanging="708"/>
              <w:rPr>
                <w:lang w:val="lt-LT"/>
              </w:rPr>
            </w:pPr>
            <w:r>
              <w:rPr>
                <w:lang w:val="lt-LT"/>
              </w:rPr>
              <w:t>į</w:t>
            </w:r>
            <w:r w:rsidR="0068088E">
              <w:rPr>
                <w:lang w:val="lt-LT"/>
              </w:rPr>
              <w:t>sakymo Nr. V1V-</w:t>
            </w:r>
            <w:r w:rsidR="006611BE">
              <w:rPr>
                <w:lang w:val="lt-LT"/>
              </w:rPr>
              <w:t>15</w:t>
            </w:r>
          </w:p>
          <w:p w:rsidR="0068088E" w:rsidRDefault="0068088E">
            <w:pPr>
              <w:ind w:left="1280" w:hanging="708"/>
              <w:rPr>
                <w:lang w:val="lt-LT"/>
              </w:rPr>
            </w:pPr>
            <w:r>
              <w:rPr>
                <w:lang w:val="lt-LT"/>
              </w:rPr>
              <w:t>1.1. punktu</w:t>
            </w:r>
          </w:p>
          <w:p w:rsidR="0068088E" w:rsidRDefault="0068088E">
            <w:pPr>
              <w:ind w:left="1280" w:hanging="708"/>
              <w:rPr>
                <w:lang w:val="lt-LT"/>
              </w:rPr>
            </w:pPr>
          </w:p>
          <w:p w:rsidR="0068088E" w:rsidRDefault="0068088E">
            <w:pPr>
              <w:ind w:left="1280" w:hanging="708"/>
              <w:rPr>
                <w:color w:val="FF0000"/>
              </w:rPr>
            </w:pPr>
          </w:p>
        </w:tc>
      </w:tr>
    </w:tbl>
    <w:p w:rsidR="0068088E" w:rsidRDefault="0068088E" w:rsidP="0068088E">
      <w:pPr>
        <w:jc w:val="center"/>
        <w:rPr>
          <w:b/>
        </w:rPr>
      </w:pPr>
      <w:r>
        <w:rPr>
          <w:b/>
        </w:rPr>
        <w:t>PALANGOS LOPŠELIO-</w:t>
      </w:r>
      <w:proofErr w:type="gramStart"/>
      <w:r>
        <w:rPr>
          <w:b/>
        </w:rPr>
        <w:t>DARŽELIO ,,SIGUTĖ</w:t>
      </w:r>
      <w:proofErr w:type="gramEnd"/>
      <w:r>
        <w:rPr>
          <w:b/>
        </w:rPr>
        <w:t xml:space="preserve">” </w:t>
      </w:r>
    </w:p>
    <w:p w:rsidR="0068088E" w:rsidRDefault="0068088E" w:rsidP="0068088E">
      <w:pPr>
        <w:jc w:val="center"/>
        <w:rPr>
          <w:b/>
        </w:rPr>
      </w:pPr>
      <w:r>
        <w:rPr>
          <w:b/>
        </w:rPr>
        <w:t>IKIMOKYKLINIO UGDYMO MOKYTOJO PAREIGYBĖS APRAŠYMAS</w:t>
      </w:r>
    </w:p>
    <w:p w:rsidR="0068088E" w:rsidRDefault="0068088E" w:rsidP="0068088E">
      <w:pPr>
        <w:jc w:val="center"/>
        <w:rPr>
          <w:b/>
        </w:rPr>
      </w:pPr>
    </w:p>
    <w:p w:rsidR="0068088E" w:rsidRDefault="0068088E" w:rsidP="0068088E">
      <w:pPr>
        <w:tabs>
          <w:tab w:val="left" w:pos="7530"/>
        </w:tabs>
        <w:jc w:val="center"/>
        <w:rPr>
          <w:color w:val="000000"/>
        </w:rPr>
      </w:pPr>
      <w:r>
        <w:rPr>
          <w:b/>
          <w:bCs/>
          <w:color w:val="000000"/>
        </w:rPr>
        <w:t>I</w:t>
      </w:r>
      <w:bookmarkStart w:id="0" w:name="_GoBack"/>
      <w:bookmarkEnd w:id="0"/>
      <w:r w:rsidR="000921F0">
        <w:rPr>
          <w:b/>
          <w:bCs/>
          <w:color w:val="000000"/>
        </w:rPr>
        <w:t xml:space="preserve">. </w:t>
      </w:r>
      <w:r>
        <w:rPr>
          <w:b/>
          <w:bCs/>
          <w:color w:val="000000"/>
        </w:rPr>
        <w:t>PAREIGYBĖ</w:t>
      </w:r>
      <w:bookmarkStart w:id="1" w:name="part_51767a398e694d5c88deb1737fb696a7"/>
      <w:bookmarkEnd w:id="1"/>
    </w:p>
    <w:p w:rsidR="0068088E" w:rsidRDefault="0068088E" w:rsidP="0068088E">
      <w:pPr>
        <w:tabs>
          <w:tab w:val="left" w:pos="7530"/>
        </w:tabs>
        <w:jc w:val="center"/>
        <w:rPr>
          <w:color w:val="000000"/>
        </w:rPr>
      </w:pPr>
    </w:p>
    <w:p w:rsidR="0068088E" w:rsidRDefault="0068088E" w:rsidP="0068088E">
      <w:pPr>
        <w:tabs>
          <w:tab w:val="left" w:pos="709"/>
        </w:tabs>
        <w:ind w:left="360"/>
        <w:jc w:val="both"/>
        <w:rPr>
          <w:lang w:val="lt-LT"/>
        </w:rPr>
      </w:pPr>
      <w:r>
        <w:rPr>
          <w:sz w:val="23"/>
          <w:szCs w:val="23"/>
          <w:lang w:val="lt-LT"/>
        </w:rPr>
        <w:tab/>
      </w:r>
      <w:r w:rsidR="00BB1607">
        <w:rPr>
          <w:sz w:val="23"/>
          <w:szCs w:val="23"/>
          <w:lang w:val="lt-LT"/>
        </w:rPr>
        <w:tab/>
      </w:r>
      <w:r>
        <w:rPr>
          <w:lang w:val="lt-LT"/>
        </w:rPr>
        <w:t xml:space="preserve">1. Lopšelio-darželio ,,Sigutė“ (toliau tekste – Mokykla) </w:t>
      </w:r>
      <w:r w:rsidR="00E84A48">
        <w:rPr>
          <w:lang w:val="lt-LT"/>
        </w:rPr>
        <w:t>ikimokyklinio ugdymo mokytojas</w:t>
      </w:r>
      <w:r>
        <w:rPr>
          <w:lang w:val="lt-LT"/>
        </w:rPr>
        <w:t xml:space="preserve"> priskiriamas pedagoginiams darbuotojams, yra specialistas, profesijų klasifikatoriaus kodas - 234201</w:t>
      </w:r>
    </w:p>
    <w:p w:rsidR="0068088E" w:rsidRDefault="0068088E" w:rsidP="0068088E">
      <w:pPr>
        <w:tabs>
          <w:tab w:val="left" w:pos="709"/>
        </w:tabs>
        <w:ind w:left="360"/>
        <w:jc w:val="both"/>
        <w:rPr>
          <w:color w:val="FF0000"/>
          <w:lang w:val="lt-LT"/>
        </w:rPr>
      </w:pPr>
      <w:r>
        <w:rPr>
          <w:lang w:val="lt-LT"/>
        </w:rPr>
        <w:tab/>
      </w:r>
      <w:r w:rsidR="00BB1607">
        <w:rPr>
          <w:lang w:val="lt-LT"/>
        </w:rPr>
        <w:tab/>
      </w:r>
      <w:r>
        <w:rPr>
          <w:lang w:val="lt-LT"/>
        </w:rPr>
        <w:t>2. Pareigybės lygis – A2.</w:t>
      </w:r>
    </w:p>
    <w:p w:rsidR="0068088E" w:rsidRDefault="0068088E" w:rsidP="0068088E">
      <w:pPr>
        <w:tabs>
          <w:tab w:val="left" w:pos="709"/>
        </w:tabs>
        <w:ind w:left="360"/>
        <w:jc w:val="both"/>
        <w:rPr>
          <w:lang w:val="lt-LT"/>
        </w:rPr>
      </w:pPr>
      <w:r>
        <w:rPr>
          <w:lang w:val="lt-LT"/>
        </w:rPr>
        <w:tab/>
      </w:r>
      <w:r w:rsidR="00BB1607">
        <w:rPr>
          <w:lang w:val="lt-LT"/>
        </w:rPr>
        <w:tab/>
      </w:r>
      <w:r>
        <w:rPr>
          <w:lang w:val="lt-LT"/>
        </w:rPr>
        <w:t>3.</w:t>
      </w:r>
      <w:r w:rsidR="00E84A48">
        <w:rPr>
          <w:lang w:val="lt-LT"/>
        </w:rPr>
        <w:t xml:space="preserve"> </w:t>
      </w:r>
      <w:bookmarkStart w:id="2" w:name="_Hlk5784742"/>
      <w:r w:rsidR="00E84A48">
        <w:rPr>
          <w:lang w:val="lt-LT"/>
        </w:rPr>
        <w:t>Ikimokyklinio ugdymo</w:t>
      </w:r>
      <w:r>
        <w:rPr>
          <w:lang w:val="lt-LT"/>
        </w:rPr>
        <w:t xml:space="preserve"> </w:t>
      </w:r>
      <w:r w:rsidR="00E84A48">
        <w:rPr>
          <w:lang w:val="lt-LT"/>
        </w:rPr>
        <w:t>mokytojas</w:t>
      </w:r>
      <w:r>
        <w:rPr>
          <w:lang w:val="lt-LT"/>
        </w:rPr>
        <w:t xml:space="preserve"> </w:t>
      </w:r>
      <w:bookmarkEnd w:id="2"/>
      <w:r>
        <w:rPr>
          <w:lang w:val="lt-LT"/>
        </w:rPr>
        <w:t>yra tiesiogiai pavaldus Mokyklos direktoriui.</w:t>
      </w:r>
    </w:p>
    <w:p w:rsidR="0068088E" w:rsidRDefault="0068088E" w:rsidP="0068088E">
      <w:pPr>
        <w:tabs>
          <w:tab w:val="left" w:pos="709"/>
        </w:tabs>
        <w:jc w:val="both"/>
        <w:rPr>
          <w:lang w:val="lt-LT"/>
        </w:rPr>
      </w:pPr>
    </w:p>
    <w:p w:rsidR="0068088E" w:rsidRPr="000921F0" w:rsidRDefault="0068088E" w:rsidP="000921F0">
      <w:pPr>
        <w:keepNext/>
        <w:jc w:val="center"/>
        <w:rPr>
          <w:b/>
          <w:bCs/>
          <w:color w:val="000000"/>
          <w:lang w:val="lt-LT"/>
        </w:rPr>
      </w:pPr>
      <w:r>
        <w:rPr>
          <w:b/>
          <w:bCs/>
          <w:color w:val="000000"/>
          <w:lang w:val="lt-LT"/>
        </w:rPr>
        <w:t>II</w:t>
      </w:r>
      <w:r w:rsidR="000921F0">
        <w:rPr>
          <w:b/>
          <w:bCs/>
          <w:color w:val="000000"/>
          <w:lang w:val="lt-LT"/>
        </w:rPr>
        <w:t>.</w:t>
      </w:r>
      <w:r w:rsidR="000921F0">
        <w:rPr>
          <w:rStyle w:val="apple-converted-space"/>
          <w:b/>
          <w:bCs/>
          <w:color w:val="000000"/>
          <w:lang w:val="lt-LT"/>
        </w:rPr>
        <w:t xml:space="preserve"> </w:t>
      </w:r>
      <w:r>
        <w:rPr>
          <w:b/>
          <w:bCs/>
          <w:color w:val="000000"/>
          <w:lang w:val="lt-LT"/>
        </w:rPr>
        <w:t>SPECIALŪS REIKALAVIMAI ŠIAS PAREIGAS EINANČIAM</w:t>
      </w:r>
      <w:r w:rsidR="00E84A48" w:rsidRPr="00E84A48">
        <w:rPr>
          <w:lang w:val="lt-LT"/>
        </w:rPr>
        <w:t xml:space="preserve"> </w:t>
      </w:r>
      <w:r w:rsidR="00E84A48" w:rsidRPr="00E84A48">
        <w:rPr>
          <w:b/>
          <w:lang w:val="lt-LT"/>
        </w:rPr>
        <w:t>IKIMOKYKLINIO UGDYMO MOKYTOJ</w:t>
      </w:r>
      <w:r w:rsidR="00E84A48">
        <w:rPr>
          <w:b/>
          <w:lang w:val="lt-LT"/>
        </w:rPr>
        <w:t>UI</w:t>
      </w:r>
    </w:p>
    <w:p w:rsidR="001A41BF" w:rsidRDefault="001A41BF" w:rsidP="0068088E">
      <w:pPr>
        <w:keepNext/>
        <w:jc w:val="center"/>
      </w:pPr>
    </w:p>
    <w:p w:rsidR="0068088E" w:rsidRDefault="0068088E" w:rsidP="00BB1607">
      <w:pPr>
        <w:keepNext/>
        <w:ind w:firstLine="1296"/>
        <w:jc w:val="both"/>
        <w:rPr>
          <w:color w:val="000000"/>
          <w:lang w:val="lt-LT"/>
        </w:rPr>
      </w:pPr>
      <w:r>
        <w:rPr>
          <w:color w:val="000000"/>
          <w:lang w:val="lt-LT"/>
        </w:rPr>
        <w:t xml:space="preserve">4. </w:t>
      </w:r>
      <w:r w:rsidR="00E84A48">
        <w:rPr>
          <w:lang w:val="lt-LT"/>
        </w:rPr>
        <w:t>Ikimokyklinio ugdymo mokytojas</w:t>
      </w:r>
      <w:r>
        <w:rPr>
          <w:color w:val="000000"/>
          <w:lang w:val="lt-LT"/>
        </w:rPr>
        <w:t>, einantis šias pareigas, turi atitikti šiuos reikalavimus:</w:t>
      </w:r>
    </w:p>
    <w:p w:rsidR="0068088E" w:rsidRDefault="0068088E" w:rsidP="00BB1607">
      <w:pPr>
        <w:ind w:firstLine="1296"/>
        <w:jc w:val="both"/>
        <w:rPr>
          <w:lang w:val="lt-LT"/>
        </w:rPr>
      </w:pPr>
      <w:r>
        <w:rPr>
          <w:lang w:val="lt-LT"/>
        </w:rPr>
        <w:t xml:space="preserve">4.1. </w:t>
      </w:r>
      <w:r w:rsidR="00E84A48">
        <w:rPr>
          <w:lang w:val="lt-LT"/>
        </w:rPr>
        <w:t>ikimokyklinio ugdymo mokytojas</w:t>
      </w:r>
      <w:r>
        <w:rPr>
          <w:lang w:val="lt-LT"/>
        </w:rPr>
        <w:t xml:space="preserve"> turi turėti aukštąjį arba aukštesnįjį (specialųjį vidurinį, įgytą iki 1995 metų, arba aukštesnįjį, įgytą iki 2009 m.,) arba aukštąjį išsilavinimą ir ikimokyklinio ugdymo auklėtojo kvalifikaciją;</w:t>
      </w:r>
    </w:p>
    <w:p w:rsidR="0068088E" w:rsidRDefault="0068088E" w:rsidP="00BB1607">
      <w:pPr>
        <w:ind w:firstLine="1296"/>
        <w:jc w:val="both"/>
        <w:rPr>
          <w:lang w:val="lt-LT"/>
        </w:rPr>
      </w:pPr>
      <w:r>
        <w:rPr>
          <w:caps/>
          <w:lang w:val="lt-LT"/>
        </w:rPr>
        <w:t xml:space="preserve">4.2. </w:t>
      </w:r>
      <w:r>
        <w:rPr>
          <w:lang w:val="lt-LT"/>
        </w:rPr>
        <w:t>turėti auklėtojo kvalifikacinę kategoriją;</w:t>
      </w:r>
    </w:p>
    <w:p w:rsidR="0068088E" w:rsidRDefault="0068088E" w:rsidP="00BB1607">
      <w:pPr>
        <w:ind w:left="60" w:firstLine="1236"/>
        <w:jc w:val="both"/>
        <w:rPr>
          <w:lang w:val="lt-LT"/>
        </w:rPr>
      </w:pPr>
      <w:r>
        <w:rPr>
          <w:lang w:val="lt-LT"/>
        </w:rPr>
        <w:t>4.3. būti įgijęs kompetencijas, numatytas Reikalavimuose mokytojų kompiuterinio raštingumo programoms, patvirtintoms Lietuvos Respublikos švietimo ir mokslo ministro 2007 m. kovo 29 d. įsakymu Nr. ISAK-555 ,,Dėl Reikalavimų mokytojų kompiuterinio raštingumo programoms patvirtinimo“;</w:t>
      </w:r>
    </w:p>
    <w:p w:rsidR="0068088E" w:rsidRDefault="0068088E" w:rsidP="00BB1607">
      <w:pPr>
        <w:ind w:left="60" w:firstLine="1236"/>
        <w:jc w:val="both"/>
        <w:rPr>
          <w:lang w:val="lt-LT"/>
        </w:rPr>
      </w:pPr>
      <w:r>
        <w:t xml:space="preserve">4.4. </w:t>
      </w:r>
      <w:proofErr w:type="spellStart"/>
      <w:r>
        <w:t>mokėti</w:t>
      </w:r>
      <w:proofErr w:type="spellEnd"/>
      <w:r>
        <w:t xml:space="preserve"> </w:t>
      </w:r>
      <w:proofErr w:type="spellStart"/>
      <w:r>
        <w:t>valstybinę</w:t>
      </w:r>
      <w:proofErr w:type="spellEnd"/>
      <w:r>
        <w:t xml:space="preserve"> </w:t>
      </w:r>
      <w:proofErr w:type="spellStart"/>
      <w:r>
        <w:t>kalbą</w:t>
      </w:r>
      <w:proofErr w:type="spellEnd"/>
      <w:r>
        <w:t xml:space="preserve"> </w:t>
      </w:r>
      <w:proofErr w:type="spellStart"/>
      <w:r>
        <w:t>pagal</w:t>
      </w:r>
      <w:proofErr w:type="spellEnd"/>
      <w:r>
        <w:t xml:space="preserve"> </w:t>
      </w:r>
      <w:proofErr w:type="spellStart"/>
      <w:r>
        <w:t>trečiąją</w:t>
      </w:r>
      <w:proofErr w:type="spellEnd"/>
      <w:r>
        <w:t xml:space="preserve"> </w:t>
      </w:r>
      <w:proofErr w:type="spellStart"/>
      <w:r>
        <w:t>valstybinės</w:t>
      </w:r>
      <w:proofErr w:type="spellEnd"/>
      <w:r>
        <w:t xml:space="preserve"> </w:t>
      </w:r>
      <w:proofErr w:type="spellStart"/>
      <w:r>
        <w:t>kalbos</w:t>
      </w:r>
      <w:proofErr w:type="spellEnd"/>
      <w:r>
        <w:t xml:space="preserve"> </w:t>
      </w:r>
      <w:proofErr w:type="spellStart"/>
      <w:r>
        <w:t>mokėjimo</w:t>
      </w:r>
      <w:proofErr w:type="spellEnd"/>
      <w:r>
        <w:t xml:space="preserve"> </w:t>
      </w:r>
      <w:proofErr w:type="spellStart"/>
      <w:r>
        <w:t>kategoriją</w:t>
      </w:r>
      <w:proofErr w:type="spellEnd"/>
      <w:r>
        <w:t xml:space="preserve">, </w:t>
      </w:r>
      <w:proofErr w:type="spellStart"/>
      <w:r>
        <w:t>nustatytą</w:t>
      </w:r>
      <w:proofErr w:type="spellEnd"/>
      <w:r>
        <w:rPr>
          <w:lang w:val="lt-LT"/>
        </w:rPr>
        <w:t xml:space="preserve"> Lietuvos Respublikos Vyriausybės 2003 m. gruodžio 24 d. nutarimu Nr. 1688 ,,Dėl valstybinės kalbos mokėjimo kategorijų patvirtinimo ir įgyvendinimo“;</w:t>
      </w:r>
    </w:p>
    <w:p w:rsidR="0068088E" w:rsidRDefault="0068088E" w:rsidP="00BB1607">
      <w:pPr>
        <w:ind w:left="60" w:firstLine="1236"/>
        <w:jc w:val="both"/>
        <w:rPr>
          <w:lang w:val="lt-LT"/>
        </w:rPr>
      </w:pPr>
      <w:r>
        <w:rPr>
          <w:lang w:val="lt-LT"/>
        </w:rPr>
        <w:t>4.5. būti išklausęs Specialiosios pedagogikos ir specialiosios psichologijos kvalifikacijos tobulinimo kursų programą, patvirtintą Lietuvos Respublikos švietimo ir mokslo ministro 2007 m. gruodžio 18 d. įsakymu Nr. ISAK -  2481 ,,Dėl Specialiosios pedagogikos ir specialiosios psichologijos kvalifikacijos tobulinimo kursų programos patvirtinimo“;</w:t>
      </w:r>
    </w:p>
    <w:p w:rsidR="0068088E" w:rsidRDefault="0068088E" w:rsidP="00BB1607">
      <w:pPr>
        <w:ind w:left="60" w:firstLine="1236"/>
        <w:jc w:val="both"/>
        <w:rPr>
          <w:lang w:val="lt-LT"/>
        </w:rPr>
      </w:pPr>
      <w:r>
        <w:rPr>
          <w:lang w:val="lt-LT"/>
        </w:rPr>
        <w:t xml:space="preserve">4.6. </w:t>
      </w:r>
      <w:r w:rsidR="00E84A48">
        <w:rPr>
          <w:lang w:val="lt-LT"/>
        </w:rPr>
        <w:t>ikimokyklinio ugdymo mokytojas</w:t>
      </w:r>
      <w:r>
        <w:rPr>
          <w:lang w:val="lt-LT"/>
        </w:rPr>
        <w:t xml:space="preserve"> dirba vadovaudamasis Lietuvos Respublikos švietimo įstatymu (Žin., 1991, Nr. 23-593; 2003, Nr. 63-2853),  Jungtinių Tautų vaiko teisių konvencija, ratifikuota 1995 m. liepos 3 d.  Lietuvos Respublikos įstatymu Nr. I -983 (Žin., 1995, Nr.60-1501) Lietuvos Respublikos Vyriausybės nutarimais, Lietuvos Respublikos švietimo ir mokslo ministerijos teisės aktais, reglamentuojančiais ikimokyklinio amžiaus vaikų ugdymą, Mokyklos nuostatais, Mokyklos darbo tvarkos taisyklėmis bei šiuo pareigybės aprašymu.</w:t>
      </w:r>
    </w:p>
    <w:p w:rsidR="0068088E" w:rsidRDefault="0068088E" w:rsidP="0068088E">
      <w:pPr>
        <w:ind w:left="60" w:firstLine="720"/>
        <w:rPr>
          <w:lang w:val="lt-LT"/>
        </w:rPr>
      </w:pPr>
    </w:p>
    <w:p w:rsidR="0068088E" w:rsidRDefault="0068088E" w:rsidP="0068088E">
      <w:pPr>
        <w:ind w:left="60" w:firstLine="720"/>
        <w:rPr>
          <w:lang w:val="lt-LT"/>
        </w:rPr>
      </w:pPr>
    </w:p>
    <w:p w:rsidR="0068088E" w:rsidRDefault="0068088E" w:rsidP="0068088E">
      <w:pPr>
        <w:ind w:left="60" w:firstLine="720"/>
        <w:rPr>
          <w:lang w:val="lt-LT"/>
        </w:rPr>
      </w:pPr>
    </w:p>
    <w:p w:rsidR="0068088E" w:rsidRDefault="0068088E" w:rsidP="0068088E">
      <w:pPr>
        <w:ind w:left="60" w:firstLine="720"/>
        <w:rPr>
          <w:lang w:val="lt-LT"/>
        </w:rPr>
      </w:pPr>
    </w:p>
    <w:p w:rsidR="00E84A48" w:rsidRDefault="00E84A48" w:rsidP="00E84A48">
      <w:pPr>
        <w:rPr>
          <w:lang w:val="lt-LT"/>
        </w:rPr>
      </w:pPr>
    </w:p>
    <w:p w:rsidR="0068088E" w:rsidRPr="00E84A48" w:rsidRDefault="000921F0" w:rsidP="0068088E">
      <w:pPr>
        <w:jc w:val="center"/>
        <w:rPr>
          <w:b/>
        </w:rPr>
      </w:pPr>
      <w:r>
        <w:rPr>
          <w:b/>
        </w:rPr>
        <w:lastRenderedPageBreak/>
        <w:t xml:space="preserve">III. </w:t>
      </w:r>
      <w:r w:rsidR="0068088E">
        <w:rPr>
          <w:b/>
        </w:rPr>
        <w:t>ŠIAS PAREIGAS EINANČIO</w:t>
      </w:r>
      <w:r w:rsidR="00E84A48" w:rsidRPr="00E84A48">
        <w:rPr>
          <w:lang w:val="lt-LT"/>
        </w:rPr>
        <w:t xml:space="preserve"> </w:t>
      </w:r>
      <w:r w:rsidR="00E84A48" w:rsidRPr="00E84A48">
        <w:rPr>
          <w:b/>
          <w:lang w:val="lt-LT"/>
        </w:rPr>
        <w:t>IKIMOKYKLINIO UGDYMO MOKYTOJO</w:t>
      </w:r>
      <w:r w:rsidR="00E84A48" w:rsidRPr="00E84A48">
        <w:rPr>
          <w:b/>
        </w:rPr>
        <w:t xml:space="preserve"> </w:t>
      </w:r>
      <w:r w:rsidR="0068088E" w:rsidRPr="00E84A48">
        <w:rPr>
          <w:b/>
        </w:rPr>
        <w:t>FUNKCIJOS</w:t>
      </w:r>
    </w:p>
    <w:p w:rsidR="0068088E" w:rsidRPr="00E84A48" w:rsidRDefault="0068088E" w:rsidP="0068088E">
      <w:pPr>
        <w:jc w:val="center"/>
        <w:rPr>
          <w:b/>
        </w:rPr>
      </w:pPr>
    </w:p>
    <w:p w:rsidR="0068088E" w:rsidRDefault="0068088E" w:rsidP="00BB1607">
      <w:pPr>
        <w:ind w:firstLine="1296"/>
        <w:jc w:val="both"/>
        <w:rPr>
          <w:lang w:val="lt-LT"/>
        </w:rPr>
      </w:pPr>
      <w:r>
        <w:rPr>
          <w:caps/>
          <w:lang w:val="lt-LT"/>
        </w:rPr>
        <w:t xml:space="preserve">5. </w:t>
      </w:r>
      <w:r>
        <w:rPr>
          <w:lang w:val="lt-LT"/>
        </w:rPr>
        <w:t xml:space="preserve">Šias pareigas einantis </w:t>
      </w:r>
      <w:r w:rsidR="00E84A48">
        <w:rPr>
          <w:lang w:val="lt-LT"/>
        </w:rPr>
        <w:t>ikimokyklinio ugdymo mokytojas</w:t>
      </w:r>
      <w:r>
        <w:rPr>
          <w:lang w:val="lt-LT"/>
        </w:rPr>
        <w:t xml:space="preserve"> vykdo šias funkcijas:</w:t>
      </w:r>
    </w:p>
    <w:p w:rsidR="0068088E" w:rsidRDefault="0068088E" w:rsidP="00BB1607">
      <w:pPr>
        <w:ind w:firstLine="1296"/>
        <w:jc w:val="both"/>
        <w:rPr>
          <w:lang w:val="lt-LT"/>
        </w:rPr>
      </w:pPr>
      <w:r>
        <w:rPr>
          <w:lang w:val="lt-LT"/>
        </w:rPr>
        <w:t>5.1. organizuoja ir vykdo ugdomąjį procesą, atsižvelgiant į individualius vaiko ugdymo(</w:t>
      </w:r>
      <w:proofErr w:type="spellStart"/>
      <w:r>
        <w:rPr>
          <w:lang w:val="lt-LT"/>
        </w:rPr>
        <w:t>si</w:t>
      </w:r>
      <w:proofErr w:type="spellEnd"/>
      <w:r>
        <w:rPr>
          <w:lang w:val="lt-LT"/>
        </w:rPr>
        <w:t>) poreikius ir amžių, Mokyklos ikimokyklinio ugdymo programos tikslus, uždavinius, vadovaujasi Ikimokyklinio ugdymo įstaigos higienos normomis ir taisyklėmis;</w:t>
      </w:r>
    </w:p>
    <w:p w:rsidR="0068088E" w:rsidRDefault="0068088E" w:rsidP="00BB1607">
      <w:pPr>
        <w:tabs>
          <w:tab w:val="left" w:pos="709"/>
        </w:tabs>
        <w:ind w:left="60"/>
        <w:jc w:val="both"/>
        <w:rPr>
          <w:lang w:val="lt-LT"/>
        </w:rPr>
      </w:pPr>
      <w:r>
        <w:rPr>
          <w:lang w:val="lt-LT"/>
        </w:rPr>
        <w:t xml:space="preserve">        </w:t>
      </w:r>
      <w:r w:rsidR="00BB1607">
        <w:rPr>
          <w:lang w:val="lt-LT"/>
        </w:rPr>
        <w:tab/>
      </w:r>
      <w:r w:rsidR="00BB1607">
        <w:rPr>
          <w:lang w:val="lt-LT"/>
        </w:rPr>
        <w:tab/>
      </w:r>
      <w:r>
        <w:rPr>
          <w:lang w:val="lt-LT"/>
        </w:rPr>
        <w:t>5.2. laiku planuoja grupės ugdomąją veiklą, žymi tikslią lankomumo apskaitą, pildo mėnesinį vaikų lankomumo žiniaraštį;</w:t>
      </w:r>
    </w:p>
    <w:p w:rsidR="0068088E" w:rsidRDefault="0068088E" w:rsidP="00BB1607">
      <w:pPr>
        <w:tabs>
          <w:tab w:val="left" w:pos="709"/>
        </w:tabs>
        <w:ind w:left="60"/>
        <w:jc w:val="both"/>
        <w:rPr>
          <w:lang w:val="lt-LT"/>
        </w:rPr>
      </w:pPr>
      <w:r>
        <w:rPr>
          <w:lang w:val="lt-LT"/>
        </w:rPr>
        <w:t xml:space="preserve">        </w:t>
      </w:r>
      <w:r w:rsidR="00BB1607">
        <w:rPr>
          <w:lang w:val="lt-LT"/>
        </w:rPr>
        <w:tab/>
      </w:r>
      <w:r w:rsidR="00BB1607">
        <w:rPr>
          <w:lang w:val="lt-LT"/>
        </w:rPr>
        <w:tab/>
      </w:r>
      <w:r>
        <w:rPr>
          <w:lang w:val="lt-LT"/>
        </w:rPr>
        <w:t xml:space="preserve">5.3. kuria grupės ugdomąją aplinką, parenka ugdymo priemones ir metodus; </w:t>
      </w:r>
    </w:p>
    <w:p w:rsidR="0068088E" w:rsidRDefault="0068088E" w:rsidP="00BB1607">
      <w:pPr>
        <w:tabs>
          <w:tab w:val="left" w:pos="709"/>
        </w:tabs>
        <w:ind w:left="60"/>
        <w:jc w:val="both"/>
        <w:rPr>
          <w:lang w:val="lt-LT"/>
        </w:rPr>
      </w:pPr>
      <w:r>
        <w:rPr>
          <w:lang w:val="lt-LT"/>
        </w:rPr>
        <w:t xml:space="preserve">        </w:t>
      </w:r>
      <w:r w:rsidR="00BB1607">
        <w:rPr>
          <w:lang w:val="lt-LT"/>
        </w:rPr>
        <w:tab/>
      </w:r>
      <w:r w:rsidR="00BB1607">
        <w:rPr>
          <w:lang w:val="lt-LT"/>
        </w:rPr>
        <w:tab/>
      </w:r>
      <w:r>
        <w:rPr>
          <w:lang w:val="lt-LT"/>
        </w:rPr>
        <w:t>5.4. ugdo ir/ ar dalyvauja vaikų ugdymo(</w:t>
      </w:r>
      <w:proofErr w:type="spellStart"/>
      <w:r>
        <w:rPr>
          <w:lang w:val="lt-LT"/>
        </w:rPr>
        <w:t>si</w:t>
      </w:r>
      <w:proofErr w:type="spellEnd"/>
      <w:r>
        <w:rPr>
          <w:lang w:val="lt-LT"/>
        </w:rPr>
        <w:t>) procese;</w:t>
      </w:r>
    </w:p>
    <w:p w:rsidR="0068088E" w:rsidRDefault="0068088E" w:rsidP="00BB1607">
      <w:pPr>
        <w:tabs>
          <w:tab w:val="left" w:pos="709"/>
        </w:tabs>
        <w:ind w:left="60"/>
        <w:jc w:val="both"/>
        <w:rPr>
          <w:lang w:val="lt-LT"/>
        </w:rPr>
      </w:pPr>
      <w:r>
        <w:rPr>
          <w:lang w:val="lt-LT"/>
        </w:rPr>
        <w:t xml:space="preserve">        </w:t>
      </w:r>
      <w:r w:rsidR="00BB1607">
        <w:rPr>
          <w:lang w:val="lt-LT"/>
        </w:rPr>
        <w:tab/>
      </w:r>
      <w:r w:rsidR="00BB1607">
        <w:rPr>
          <w:lang w:val="lt-LT"/>
        </w:rPr>
        <w:tab/>
      </w:r>
      <w:r>
        <w:rPr>
          <w:lang w:val="lt-LT"/>
        </w:rPr>
        <w:t>5.5. užtikrina savo darbo kokybę;</w:t>
      </w:r>
    </w:p>
    <w:p w:rsidR="0068088E" w:rsidRDefault="0068088E" w:rsidP="00BB1607">
      <w:pPr>
        <w:ind w:left="60"/>
        <w:jc w:val="both"/>
        <w:rPr>
          <w:lang w:val="lt-LT"/>
        </w:rPr>
      </w:pPr>
      <w:r>
        <w:rPr>
          <w:lang w:val="lt-LT"/>
        </w:rPr>
        <w:t xml:space="preserve">        </w:t>
      </w:r>
      <w:r w:rsidR="00BB1607">
        <w:rPr>
          <w:lang w:val="lt-LT"/>
        </w:rPr>
        <w:tab/>
      </w:r>
      <w:r>
        <w:rPr>
          <w:lang w:val="lt-LT"/>
        </w:rPr>
        <w:t>5.6.  prireikus rengia individualias vaikų ugdymo(</w:t>
      </w:r>
      <w:proofErr w:type="spellStart"/>
      <w:r>
        <w:rPr>
          <w:lang w:val="lt-LT"/>
        </w:rPr>
        <w:t>si</w:t>
      </w:r>
      <w:proofErr w:type="spellEnd"/>
      <w:r>
        <w:rPr>
          <w:lang w:val="lt-LT"/>
        </w:rPr>
        <w:t>) programas;</w:t>
      </w:r>
    </w:p>
    <w:p w:rsidR="0068088E" w:rsidRDefault="0068088E" w:rsidP="00BB1607">
      <w:pPr>
        <w:ind w:left="60"/>
        <w:jc w:val="both"/>
        <w:rPr>
          <w:lang w:val="lt-LT"/>
        </w:rPr>
      </w:pPr>
      <w:r>
        <w:rPr>
          <w:lang w:val="lt-LT"/>
        </w:rPr>
        <w:t xml:space="preserve">        </w:t>
      </w:r>
      <w:r w:rsidR="00BB1607">
        <w:rPr>
          <w:lang w:val="lt-LT"/>
        </w:rPr>
        <w:tab/>
      </w:r>
      <w:r>
        <w:rPr>
          <w:lang w:val="lt-LT"/>
        </w:rPr>
        <w:t>5.7. sistemingai vertina fiksuoja vaikų daromą pažangą, apie vaikų pasiekimus ar iškilusias sveikatos problemas, informuoja tėvus (globėjus);</w:t>
      </w:r>
    </w:p>
    <w:p w:rsidR="0068088E" w:rsidRDefault="0068088E" w:rsidP="00BB1607">
      <w:pPr>
        <w:ind w:left="60"/>
        <w:jc w:val="both"/>
        <w:rPr>
          <w:lang w:val="lt-LT"/>
        </w:rPr>
      </w:pPr>
      <w:r>
        <w:rPr>
          <w:lang w:val="lt-LT"/>
        </w:rPr>
        <w:t xml:space="preserve">        </w:t>
      </w:r>
      <w:r w:rsidR="00BB1607">
        <w:rPr>
          <w:lang w:val="lt-LT"/>
        </w:rPr>
        <w:tab/>
      </w:r>
      <w:r>
        <w:rPr>
          <w:lang w:val="lt-LT"/>
        </w:rPr>
        <w:t xml:space="preserve">5.8. teikia informaciją, pagal kompetenciją konsultuoja tėvus (globėjus), kitus įstaigoje dirbančius specialistus ikimokyklinio amžiaus vaikų ugdymo klausimais; </w:t>
      </w:r>
    </w:p>
    <w:p w:rsidR="0068088E" w:rsidRDefault="0068088E" w:rsidP="00BB1607">
      <w:pPr>
        <w:ind w:left="60"/>
        <w:jc w:val="both"/>
        <w:rPr>
          <w:lang w:val="lt-LT"/>
        </w:rPr>
      </w:pPr>
      <w:r>
        <w:rPr>
          <w:lang w:val="lt-LT"/>
        </w:rPr>
        <w:t xml:space="preserve">        </w:t>
      </w:r>
      <w:r w:rsidR="00BB1607">
        <w:rPr>
          <w:lang w:val="lt-LT"/>
        </w:rPr>
        <w:tab/>
      </w:r>
      <w:r>
        <w:rPr>
          <w:lang w:val="lt-LT"/>
        </w:rPr>
        <w:t>5.9. inicijuoja ir/ar dalyvauja bendruose įstaigos renginiuose, projektuose ir kitose veiklose.</w:t>
      </w:r>
    </w:p>
    <w:p w:rsidR="0068088E" w:rsidRDefault="0068088E" w:rsidP="00BB1607">
      <w:pPr>
        <w:ind w:left="60"/>
        <w:jc w:val="both"/>
        <w:rPr>
          <w:lang w:val="lt-LT"/>
        </w:rPr>
      </w:pPr>
      <w:r>
        <w:rPr>
          <w:lang w:val="lt-LT"/>
        </w:rPr>
        <w:t xml:space="preserve">        </w:t>
      </w:r>
      <w:r w:rsidR="00BB1607">
        <w:rPr>
          <w:lang w:val="lt-LT"/>
        </w:rPr>
        <w:tab/>
      </w:r>
      <w:r>
        <w:rPr>
          <w:lang w:val="lt-LT"/>
        </w:rPr>
        <w:t>5.10. saugo ir stiprina vaikų sveikatą, garantuoja vaikų fizinį ir psichologinį saugumą grupėje, salėje, kitose įstaigos erdvėse, žaidimų aikštelėse ir kt.;</w:t>
      </w:r>
    </w:p>
    <w:p w:rsidR="0068088E" w:rsidRDefault="0068088E" w:rsidP="00BB1607">
      <w:pPr>
        <w:shd w:val="clear" w:color="auto" w:fill="FFFFFF"/>
        <w:jc w:val="both"/>
        <w:rPr>
          <w:lang w:val="lt-LT"/>
        </w:rPr>
      </w:pPr>
      <w:r>
        <w:rPr>
          <w:lang w:val="lt-LT"/>
        </w:rPr>
        <w:t xml:space="preserve">         </w:t>
      </w:r>
      <w:r w:rsidR="00BB1607">
        <w:rPr>
          <w:lang w:val="lt-LT"/>
        </w:rPr>
        <w:tab/>
      </w:r>
      <w:r>
        <w:rPr>
          <w:lang w:val="lt-LT"/>
        </w:rPr>
        <w:t>5.11.</w:t>
      </w:r>
      <w:r>
        <w:rPr>
          <w:b/>
          <w:lang w:val="lt-LT"/>
        </w:rPr>
        <w:t xml:space="preserve"> </w:t>
      </w:r>
      <w:r>
        <w:rPr>
          <w:lang w:val="lt-LT"/>
        </w:rPr>
        <w:t xml:space="preserve">nuolat vykdo smurto ir patyčių prevenciją vadovaujantis Mokykloje patvirtintu Smurto ir </w:t>
      </w:r>
      <w:r>
        <w:rPr>
          <w:bCs/>
          <w:lang w:val="lt-LT" w:eastAsia="lt-LT"/>
        </w:rPr>
        <w:t>patyčių prevencijos ir intervencijos vykdymo tvarkos aprašu.</w:t>
      </w:r>
      <w:r w:rsidR="00E84A48" w:rsidRPr="00E84A48">
        <w:rPr>
          <w:lang w:val="lt-LT"/>
        </w:rPr>
        <w:t xml:space="preserve"> </w:t>
      </w:r>
      <w:r w:rsidR="00E84A48">
        <w:rPr>
          <w:lang w:val="lt-LT"/>
        </w:rPr>
        <w:t>Ikimokyklinio ugdymo mokytojas</w:t>
      </w:r>
      <w:r>
        <w:rPr>
          <w:lang w:val="lt-LT"/>
        </w:rPr>
        <w:t>, įtaręs ar pamatęs, kad vaikas galimai patyrė smurtą artimoje aplinkoje nedelsdamas: įsikiša ir nutraukia bet kokius tokį įtarimą keliančius veiksmus; apie įtarimus arba konkretų smurto ar (ir) patyčių atvejį praneša Mokyklos direktoriui arba jo įgaliotam asmeniui. Nesant galimybei pranešti Mokyklos direktoriui ar jo įgaliotam asmeniui, tiesiogiai praneša savivaldybės administracijos vaiko teisių apsaugos skyriui ir (ar) policijai; esant grėsmei vaiko sveikatai ar gyvybei, nedelsiant kreipiasi į pagalbą galinčias suteikti institucijas (pvz.: policiją, greitąją pagalbą ir kt.);</w:t>
      </w:r>
    </w:p>
    <w:p w:rsidR="0068088E" w:rsidRDefault="0068088E" w:rsidP="00BB1607">
      <w:pPr>
        <w:shd w:val="clear" w:color="auto" w:fill="FFFFFF"/>
        <w:ind w:firstLine="1296"/>
        <w:jc w:val="both"/>
        <w:rPr>
          <w:lang w:val="lt-LT"/>
        </w:rPr>
      </w:pPr>
      <w:r>
        <w:rPr>
          <w:lang w:val="lt-LT"/>
        </w:rPr>
        <w:t>5.12. derina tarpusavyje vaikų ugdymą, priežiūrą, globą;</w:t>
      </w:r>
    </w:p>
    <w:p w:rsidR="0068088E" w:rsidRDefault="0068088E" w:rsidP="00BB1607">
      <w:pPr>
        <w:shd w:val="clear" w:color="auto" w:fill="FFFFFF"/>
        <w:ind w:firstLine="1296"/>
        <w:jc w:val="both"/>
        <w:rPr>
          <w:lang w:val="lt-LT"/>
        </w:rPr>
      </w:pPr>
      <w:r>
        <w:rPr>
          <w:lang w:val="lt-LT"/>
        </w:rPr>
        <w:t>5.13 bendradarbiauja su šeima, skatina tėvus (globėjus) dalyvauti grupės veikloje, derina šeimos ir įstaigos interesus, didina vaiko kokybiško ugdymo(-</w:t>
      </w:r>
      <w:proofErr w:type="spellStart"/>
      <w:r>
        <w:rPr>
          <w:lang w:val="lt-LT"/>
        </w:rPr>
        <w:t>si</w:t>
      </w:r>
      <w:proofErr w:type="spellEnd"/>
      <w:r>
        <w:rPr>
          <w:lang w:val="lt-LT"/>
        </w:rPr>
        <w:t>) galimybes;</w:t>
      </w:r>
    </w:p>
    <w:p w:rsidR="0068088E" w:rsidRDefault="0068088E" w:rsidP="00BB1607">
      <w:pPr>
        <w:shd w:val="clear" w:color="auto" w:fill="FFFFFF"/>
        <w:ind w:firstLine="1296"/>
        <w:jc w:val="both"/>
        <w:rPr>
          <w:lang w:val="lt-LT"/>
        </w:rPr>
      </w:pPr>
      <w:r>
        <w:rPr>
          <w:lang w:val="lt-LT"/>
        </w:rPr>
        <w:t xml:space="preserve">5.14. bendradarbiauja su kitais grupėje, įstaigoje dirbančiais specialistais (meninio ugdymo </w:t>
      </w:r>
      <w:r w:rsidR="00E84A48">
        <w:rPr>
          <w:lang w:val="lt-LT"/>
        </w:rPr>
        <w:t>mokytoju</w:t>
      </w:r>
      <w:r>
        <w:rPr>
          <w:lang w:val="lt-LT"/>
        </w:rPr>
        <w:t>, logopedu ir kt.) vaikų ugdymo klausimais;</w:t>
      </w:r>
    </w:p>
    <w:p w:rsidR="0068088E" w:rsidRDefault="0068088E" w:rsidP="00BB1607">
      <w:pPr>
        <w:shd w:val="clear" w:color="auto" w:fill="FFFFFF"/>
        <w:ind w:firstLine="1296"/>
        <w:jc w:val="both"/>
        <w:rPr>
          <w:lang w:val="lt-LT"/>
        </w:rPr>
      </w:pPr>
      <w:r>
        <w:rPr>
          <w:lang w:val="lt-LT"/>
        </w:rPr>
        <w:t>5.15. priima vaiką į grupę ir išleidžia į namus tik su tėvais (globėjais), kitais suaugusiais   asmenimis, turinčiais raštišką tėvų (globėjų) leidimą/prašymą;</w:t>
      </w:r>
    </w:p>
    <w:p w:rsidR="0068088E" w:rsidRDefault="00BB1607" w:rsidP="00BB1607">
      <w:pPr>
        <w:tabs>
          <w:tab w:val="left" w:pos="709"/>
        </w:tabs>
        <w:ind w:left="60" w:firstLine="507"/>
        <w:jc w:val="both"/>
        <w:rPr>
          <w:lang w:val="lt-LT"/>
        </w:rPr>
      </w:pPr>
      <w:r>
        <w:rPr>
          <w:lang w:val="lt-LT"/>
        </w:rPr>
        <w:tab/>
      </w:r>
      <w:r>
        <w:rPr>
          <w:lang w:val="lt-LT"/>
        </w:rPr>
        <w:tab/>
      </w:r>
      <w:r w:rsidR="0068088E">
        <w:rPr>
          <w:lang w:val="lt-LT"/>
        </w:rPr>
        <w:t>5.16. įvykus nelaimingam atsitikimui, ar vaikui susirgus informuoja Mokyklos administraciją, sveikatos priežiūros specialistą, tėvus (globėjus) ar jų raštu įgaliotus asmenis, apie įvykusį nelaimingą atsitikimą, ar susirgimą, kviečia greitąją medicinos pagalbą;</w:t>
      </w:r>
    </w:p>
    <w:p w:rsidR="0068088E" w:rsidRDefault="00BB1607" w:rsidP="00BB1607">
      <w:pPr>
        <w:tabs>
          <w:tab w:val="left" w:pos="709"/>
        </w:tabs>
        <w:ind w:left="60" w:firstLine="507"/>
        <w:jc w:val="both"/>
        <w:rPr>
          <w:lang w:val="lt-LT"/>
        </w:rPr>
      </w:pPr>
      <w:r>
        <w:rPr>
          <w:lang w:val="lt-LT"/>
        </w:rPr>
        <w:tab/>
      </w:r>
      <w:r>
        <w:rPr>
          <w:lang w:val="lt-LT"/>
        </w:rPr>
        <w:tab/>
      </w:r>
      <w:r w:rsidR="0068088E">
        <w:rPr>
          <w:lang w:val="lt-LT"/>
        </w:rPr>
        <w:t>5.17. po ligos priima vaiką į Mokyklą tik tėvams pateikus gydytojo pažymą (forma Nr. F094/a);</w:t>
      </w:r>
    </w:p>
    <w:p w:rsidR="0068088E" w:rsidRDefault="00BB1607" w:rsidP="00BB1607">
      <w:pPr>
        <w:tabs>
          <w:tab w:val="left" w:pos="709"/>
        </w:tabs>
        <w:ind w:left="60" w:firstLine="507"/>
        <w:jc w:val="both"/>
        <w:rPr>
          <w:lang w:val="lt-LT"/>
        </w:rPr>
      </w:pPr>
      <w:r>
        <w:rPr>
          <w:lang w:val="lt-LT"/>
        </w:rPr>
        <w:tab/>
      </w:r>
      <w:r>
        <w:rPr>
          <w:lang w:val="lt-LT"/>
        </w:rPr>
        <w:tab/>
      </w:r>
      <w:r w:rsidR="0068088E">
        <w:rPr>
          <w:lang w:val="lt-LT"/>
        </w:rPr>
        <w:t>5.18. nuolat tobulina savo kvalifikaciją;</w:t>
      </w:r>
    </w:p>
    <w:p w:rsidR="0068088E" w:rsidRDefault="0068088E" w:rsidP="00BB1607">
      <w:pPr>
        <w:ind w:firstLine="1296"/>
        <w:jc w:val="both"/>
        <w:rPr>
          <w:lang w:val="lt-LT"/>
        </w:rPr>
      </w:pPr>
      <w:r>
        <w:rPr>
          <w:lang w:val="lt-LT"/>
        </w:rPr>
        <w:t xml:space="preserve">5.19. dalyvauja bendrose įstaigos veiklose: posėdžiuose, pasitarimuose, įstaigos ikimokyklinio ugdymo programos rengime, įstaigos veiklos kokybės įsivertinime ir kt.; </w:t>
      </w:r>
    </w:p>
    <w:p w:rsidR="0068088E" w:rsidRDefault="0068088E" w:rsidP="00BB1607">
      <w:pPr>
        <w:tabs>
          <w:tab w:val="left" w:pos="567"/>
        </w:tabs>
        <w:ind w:left="60"/>
        <w:jc w:val="both"/>
        <w:rPr>
          <w:lang w:val="lt-LT"/>
        </w:rPr>
      </w:pPr>
      <w:r>
        <w:rPr>
          <w:color w:val="FF0000"/>
          <w:lang w:val="lt-LT"/>
        </w:rPr>
        <w:t xml:space="preserve">       </w:t>
      </w:r>
      <w:r>
        <w:rPr>
          <w:lang w:val="lt-LT"/>
        </w:rPr>
        <w:t xml:space="preserve">  </w:t>
      </w:r>
      <w:r w:rsidR="00BB1607">
        <w:rPr>
          <w:lang w:val="lt-LT"/>
        </w:rPr>
        <w:tab/>
      </w:r>
      <w:r>
        <w:rPr>
          <w:lang w:val="lt-LT"/>
        </w:rPr>
        <w:t xml:space="preserve">5.20. laikosi </w:t>
      </w:r>
      <w:r w:rsidR="0017770C">
        <w:rPr>
          <w:lang w:val="lt-LT"/>
        </w:rPr>
        <w:t>Mokykl</w:t>
      </w:r>
      <w:r>
        <w:rPr>
          <w:lang w:val="lt-LT"/>
        </w:rPr>
        <w:t>os darbo tvarkos, darbo saugos, priešgaisrinės saugos ir civilinės saugos taisyklių;</w:t>
      </w:r>
    </w:p>
    <w:p w:rsidR="0068088E" w:rsidRDefault="0068088E" w:rsidP="00BB1607">
      <w:pPr>
        <w:tabs>
          <w:tab w:val="left" w:pos="567"/>
        </w:tabs>
        <w:ind w:left="60"/>
        <w:jc w:val="both"/>
        <w:rPr>
          <w:lang w:val="lt-LT"/>
        </w:rPr>
      </w:pPr>
      <w:r>
        <w:rPr>
          <w:lang w:val="lt-LT"/>
        </w:rPr>
        <w:tab/>
      </w:r>
      <w:r w:rsidR="00BB1607">
        <w:rPr>
          <w:lang w:val="lt-LT"/>
        </w:rPr>
        <w:tab/>
      </w:r>
      <w:r>
        <w:rPr>
          <w:lang w:val="lt-LT"/>
        </w:rPr>
        <w:t>5.21. užtikrina asmens duomenų apsaugą teisės aktų nustatyta ir Mokyklos duomenų apsaugos tvarka: korektišką gautų duomenų panaudojimą, turimos informacijos konfidencialumą;</w:t>
      </w:r>
    </w:p>
    <w:p w:rsidR="0068088E" w:rsidRDefault="0068088E" w:rsidP="00BB1607">
      <w:pPr>
        <w:tabs>
          <w:tab w:val="left" w:pos="567"/>
        </w:tabs>
        <w:ind w:left="60"/>
        <w:jc w:val="both"/>
        <w:rPr>
          <w:lang w:val="lt-LT"/>
        </w:rPr>
      </w:pPr>
      <w:r>
        <w:rPr>
          <w:lang w:val="lt-LT"/>
        </w:rPr>
        <w:tab/>
      </w:r>
      <w:r w:rsidR="00BB1607">
        <w:rPr>
          <w:lang w:val="lt-LT"/>
        </w:rPr>
        <w:tab/>
      </w:r>
      <w:r>
        <w:rPr>
          <w:lang w:val="lt-LT"/>
        </w:rPr>
        <w:t>5.22.</w:t>
      </w:r>
      <w:r w:rsidR="00E84A48">
        <w:rPr>
          <w:lang w:val="lt-LT"/>
        </w:rPr>
        <w:t xml:space="preserve"> </w:t>
      </w:r>
      <w:r>
        <w:rPr>
          <w:lang w:val="lt-LT"/>
        </w:rPr>
        <w:t>užtikrina Mokyklos bendruomenės narių elgesio ir etikos normų laikymąsi;</w:t>
      </w:r>
    </w:p>
    <w:p w:rsidR="0068088E" w:rsidRDefault="0068088E" w:rsidP="00BB1607">
      <w:pPr>
        <w:tabs>
          <w:tab w:val="left" w:pos="567"/>
        </w:tabs>
        <w:ind w:left="60"/>
        <w:jc w:val="both"/>
        <w:rPr>
          <w:lang w:val="lt-LT"/>
        </w:rPr>
      </w:pPr>
      <w:r>
        <w:rPr>
          <w:lang w:val="lt-LT"/>
        </w:rPr>
        <w:lastRenderedPageBreak/>
        <w:tab/>
      </w:r>
      <w:r w:rsidR="00BB1607">
        <w:rPr>
          <w:lang w:val="lt-LT"/>
        </w:rPr>
        <w:tab/>
      </w:r>
      <w:r>
        <w:rPr>
          <w:lang w:val="lt-LT"/>
        </w:rPr>
        <w:t>5.23. organizuoja vaikų turizmo renginius vadovaujantis Mokyklos vaikų turizmo renginių organizavimo aprašu;</w:t>
      </w:r>
    </w:p>
    <w:p w:rsidR="0068088E" w:rsidRDefault="0068088E" w:rsidP="0068088E">
      <w:pPr>
        <w:tabs>
          <w:tab w:val="left" w:pos="567"/>
        </w:tabs>
        <w:ind w:left="60"/>
        <w:jc w:val="both"/>
        <w:rPr>
          <w:lang w:val="lt-LT"/>
        </w:rPr>
      </w:pPr>
      <w:r>
        <w:rPr>
          <w:lang w:val="lt-LT"/>
        </w:rPr>
        <w:tab/>
      </w:r>
      <w:r w:rsidR="00BB1607">
        <w:rPr>
          <w:lang w:val="lt-LT"/>
        </w:rPr>
        <w:tab/>
      </w:r>
      <w:r>
        <w:rPr>
          <w:lang w:val="lt-LT"/>
        </w:rPr>
        <w:t>5.24. tikrinasi sveikatą teisės aktų nustatyta tvarka;</w:t>
      </w:r>
    </w:p>
    <w:p w:rsidR="0068088E" w:rsidRDefault="0068088E" w:rsidP="0068088E">
      <w:pPr>
        <w:tabs>
          <w:tab w:val="left" w:pos="567"/>
        </w:tabs>
        <w:ind w:left="60"/>
        <w:jc w:val="both"/>
        <w:rPr>
          <w:lang w:val="lt-LT"/>
        </w:rPr>
      </w:pPr>
      <w:r>
        <w:rPr>
          <w:lang w:val="lt-LT"/>
        </w:rPr>
        <w:tab/>
      </w:r>
      <w:r w:rsidR="00BB1607">
        <w:rPr>
          <w:lang w:val="lt-LT"/>
        </w:rPr>
        <w:tab/>
      </w:r>
      <w:r>
        <w:rPr>
          <w:lang w:val="lt-LT"/>
        </w:rPr>
        <w:t>5.25. vykdo kitus teisės aktų nustatytus ar Mokyklos direktoriaus priskirtus nenuolatinio pobūdžio pavedimus pagal kompetenciją.</w:t>
      </w:r>
      <w:bookmarkStart w:id="3" w:name="part_77d90d9131c745dc8bc701e26df2eeb4"/>
      <w:bookmarkEnd w:id="3"/>
    </w:p>
    <w:p w:rsidR="00BB1607" w:rsidRDefault="00BB1607" w:rsidP="0068088E">
      <w:pPr>
        <w:tabs>
          <w:tab w:val="left" w:pos="567"/>
        </w:tabs>
        <w:ind w:left="60"/>
        <w:jc w:val="both"/>
        <w:rPr>
          <w:lang w:val="lt-LT"/>
        </w:rPr>
      </w:pPr>
    </w:p>
    <w:p w:rsidR="00BB1607" w:rsidRDefault="00BB1607" w:rsidP="00BB1607">
      <w:pPr>
        <w:tabs>
          <w:tab w:val="left" w:pos="567"/>
        </w:tabs>
        <w:ind w:left="60"/>
        <w:jc w:val="center"/>
        <w:rPr>
          <w:lang w:val="lt-LT"/>
        </w:rPr>
      </w:pPr>
      <w:r>
        <w:rPr>
          <w:lang w:val="lt-LT"/>
        </w:rPr>
        <w:t>______________________</w:t>
      </w:r>
    </w:p>
    <w:p w:rsidR="0068088E" w:rsidRDefault="0068088E" w:rsidP="0068088E">
      <w:pPr>
        <w:tabs>
          <w:tab w:val="left" w:pos="0"/>
          <w:tab w:val="left" w:pos="1134"/>
        </w:tabs>
        <w:ind w:right="-20"/>
        <w:jc w:val="both"/>
        <w:rPr>
          <w:b/>
          <w:lang w:val="lt-LT"/>
        </w:rPr>
      </w:pPr>
    </w:p>
    <w:p w:rsidR="0068088E" w:rsidRDefault="0068088E" w:rsidP="0068088E">
      <w:pPr>
        <w:rPr>
          <w:lang w:val="lt-LT"/>
        </w:rPr>
      </w:pPr>
      <w:proofErr w:type="spellStart"/>
      <w:r>
        <w:t>Su</w:t>
      </w:r>
      <w:proofErr w:type="spellEnd"/>
      <w:r>
        <w:t xml:space="preserve"> </w:t>
      </w:r>
      <w:proofErr w:type="spellStart"/>
      <w:r>
        <w:t>pareigybės</w:t>
      </w:r>
      <w:proofErr w:type="spellEnd"/>
      <w:r>
        <w:t xml:space="preserve"> </w:t>
      </w:r>
      <w:proofErr w:type="spellStart"/>
      <w:r>
        <w:t>aprašymu</w:t>
      </w:r>
      <w:proofErr w:type="spellEnd"/>
      <w:r>
        <w:t xml:space="preserve"> </w:t>
      </w:r>
      <w:proofErr w:type="spellStart"/>
      <w:r>
        <w:t>susipažinau</w:t>
      </w:r>
      <w:proofErr w:type="spellEnd"/>
      <w:r>
        <w:t xml:space="preserve">, </w:t>
      </w:r>
      <w:proofErr w:type="spellStart"/>
      <w:r>
        <w:t>įsipareigoju</w:t>
      </w:r>
      <w:proofErr w:type="spellEnd"/>
      <w:r>
        <w:t xml:space="preserve"> </w:t>
      </w:r>
      <w:proofErr w:type="spellStart"/>
      <w:r>
        <w:t>vykdyti</w:t>
      </w:r>
      <w:proofErr w:type="spellEnd"/>
      <w:r>
        <w:t>:</w:t>
      </w:r>
    </w:p>
    <w:p w:rsidR="0068088E" w:rsidRDefault="0068088E" w:rsidP="006808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544"/>
        <w:gridCol w:w="2410"/>
        <w:gridCol w:w="2941"/>
      </w:tblGrid>
      <w:tr w:rsidR="0068088E" w:rsidTr="0068088E">
        <w:tc>
          <w:tcPr>
            <w:tcW w:w="675" w:type="dxa"/>
            <w:tcBorders>
              <w:top w:val="single" w:sz="4" w:space="0" w:color="000000"/>
              <w:left w:val="single" w:sz="4" w:space="0" w:color="000000"/>
              <w:bottom w:val="single" w:sz="4" w:space="0" w:color="000000"/>
              <w:right w:val="single" w:sz="4" w:space="0" w:color="auto"/>
            </w:tcBorders>
            <w:hideMark/>
          </w:tcPr>
          <w:p w:rsidR="0068088E" w:rsidRDefault="0068088E">
            <w:pPr>
              <w:jc w:val="center"/>
              <w:rPr>
                <w:lang w:eastAsia="lt-LT"/>
              </w:rPr>
            </w:pPr>
            <w:proofErr w:type="spellStart"/>
            <w:r>
              <w:rPr>
                <w:lang w:eastAsia="lt-LT"/>
              </w:rPr>
              <w:t>Eil</w:t>
            </w:r>
            <w:proofErr w:type="spellEnd"/>
            <w:r>
              <w:rPr>
                <w:lang w:eastAsia="lt-LT"/>
              </w:rPr>
              <w:t>. Nr.</w:t>
            </w:r>
          </w:p>
        </w:tc>
        <w:tc>
          <w:tcPr>
            <w:tcW w:w="3544" w:type="dxa"/>
            <w:tcBorders>
              <w:top w:val="single" w:sz="4" w:space="0" w:color="000000"/>
              <w:left w:val="single" w:sz="4" w:space="0" w:color="auto"/>
              <w:bottom w:val="single" w:sz="4" w:space="0" w:color="000000"/>
              <w:right w:val="single" w:sz="4" w:space="0" w:color="000000"/>
            </w:tcBorders>
            <w:hideMark/>
          </w:tcPr>
          <w:p w:rsidR="0068088E" w:rsidRDefault="0068088E">
            <w:pPr>
              <w:jc w:val="center"/>
              <w:rPr>
                <w:lang w:eastAsia="lt-LT"/>
              </w:rPr>
            </w:pPr>
            <w:proofErr w:type="spellStart"/>
            <w:r>
              <w:rPr>
                <w:lang w:eastAsia="lt-LT"/>
              </w:rPr>
              <w:t>Vardas</w:t>
            </w:r>
            <w:proofErr w:type="spellEnd"/>
            <w:r>
              <w:rPr>
                <w:lang w:eastAsia="lt-LT"/>
              </w:rPr>
              <w:t xml:space="preserve">, </w:t>
            </w:r>
            <w:proofErr w:type="spellStart"/>
            <w:r>
              <w:rPr>
                <w:lang w:eastAsia="lt-LT"/>
              </w:rPr>
              <w:t>pavardė</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8088E" w:rsidRDefault="0068088E">
            <w:pPr>
              <w:jc w:val="center"/>
              <w:rPr>
                <w:lang w:eastAsia="lt-LT"/>
              </w:rPr>
            </w:pPr>
            <w:proofErr w:type="spellStart"/>
            <w:r>
              <w:rPr>
                <w:lang w:eastAsia="lt-LT"/>
              </w:rPr>
              <w:t>Parašas</w:t>
            </w:r>
            <w:proofErr w:type="spellEnd"/>
          </w:p>
        </w:tc>
        <w:tc>
          <w:tcPr>
            <w:tcW w:w="2941" w:type="dxa"/>
            <w:tcBorders>
              <w:top w:val="single" w:sz="4" w:space="0" w:color="000000"/>
              <w:left w:val="single" w:sz="4" w:space="0" w:color="000000"/>
              <w:bottom w:val="single" w:sz="4" w:space="0" w:color="000000"/>
              <w:right w:val="single" w:sz="4" w:space="0" w:color="000000"/>
            </w:tcBorders>
            <w:hideMark/>
          </w:tcPr>
          <w:p w:rsidR="0068088E" w:rsidRDefault="0068088E">
            <w:pPr>
              <w:jc w:val="center"/>
              <w:rPr>
                <w:lang w:eastAsia="lt-LT"/>
              </w:rPr>
            </w:pPr>
            <w:r>
              <w:rPr>
                <w:lang w:eastAsia="lt-LT"/>
              </w:rPr>
              <w:t>Data</w:t>
            </w:r>
          </w:p>
        </w:tc>
      </w:tr>
      <w:tr w:rsidR="0068088E" w:rsidTr="0068088E">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68088E" w:rsidRDefault="0068088E">
            <w:pPr>
              <w:jc w:val="center"/>
              <w:rPr>
                <w:lang w:eastAsia="lt-LT"/>
              </w:rPr>
            </w:pPr>
            <w:r>
              <w:rPr>
                <w:lang w:eastAsia="lt-LT"/>
              </w:rPr>
              <w:t>1.</w:t>
            </w:r>
          </w:p>
        </w:tc>
        <w:tc>
          <w:tcPr>
            <w:tcW w:w="3544" w:type="dxa"/>
            <w:tcBorders>
              <w:top w:val="single" w:sz="4" w:space="0" w:color="000000"/>
              <w:left w:val="single" w:sz="4" w:space="0" w:color="auto"/>
              <w:bottom w:val="single" w:sz="4" w:space="0" w:color="000000"/>
              <w:right w:val="single" w:sz="4" w:space="0" w:color="000000"/>
            </w:tcBorders>
          </w:tcPr>
          <w:p w:rsidR="0068088E" w:rsidRDefault="0068088E">
            <w:pPr>
              <w:rPr>
                <w:lang w:eastAsia="lt-LT"/>
              </w:rPr>
            </w:pPr>
          </w:p>
          <w:p w:rsidR="0068088E" w:rsidRDefault="0068088E">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r>
      <w:tr w:rsidR="0068088E" w:rsidTr="0068088E">
        <w:trPr>
          <w:trHeight w:val="510"/>
        </w:trPr>
        <w:tc>
          <w:tcPr>
            <w:tcW w:w="675" w:type="dxa"/>
            <w:tcBorders>
              <w:top w:val="single" w:sz="4" w:space="0" w:color="000000"/>
              <w:left w:val="single" w:sz="4" w:space="0" w:color="000000"/>
              <w:bottom w:val="single" w:sz="4" w:space="0" w:color="000000"/>
              <w:right w:val="single" w:sz="4" w:space="0" w:color="auto"/>
            </w:tcBorders>
          </w:tcPr>
          <w:p w:rsidR="0068088E" w:rsidRDefault="0068088E">
            <w:pPr>
              <w:jc w:val="center"/>
              <w:rPr>
                <w:lang w:eastAsia="lt-LT"/>
              </w:rPr>
            </w:pPr>
            <w:r>
              <w:rPr>
                <w:lang w:eastAsia="lt-LT"/>
              </w:rPr>
              <w:t>2.</w:t>
            </w:r>
          </w:p>
          <w:p w:rsidR="0068088E" w:rsidRDefault="0068088E">
            <w:pPr>
              <w:jc w:val="center"/>
              <w:rPr>
                <w:lang w:eastAsia="lt-LT"/>
              </w:rPr>
            </w:pPr>
          </w:p>
        </w:tc>
        <w:tc>
          <w:tcPr>
            <w:tcW w:w="3544" w:type="dxa"/>
            <w:tcBorders>
              <w:top w:val="single" w:sz="4" w:space="0" w:color="000000"/>
              <w:left w:val="single" w:sz="4" w:space="0" w:color="auto"/>
              <w:bottom w:val="single" w:sz="4" w:space="0" w:color="000000"/>
              <w:right w:val="single" w:sz="4" w:space="0" w:color="000000"/>
            </w:tcBorders>
          </w:tcPr>
          <w:p w:rsidR="0068088E" w:rsidRDefault="0068088E">
            <w:pPr>
              <w:rPr>
                <w:lang w:eastAsia="lt-LT"/>
              </w:rPr>
            </w:pPr>
          </w:p>
          <w:p w:rsidR="0068088E" w:rsidRDefault="0068088E">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r>
      <w:tr w:rsidR="0068088E" w:rsidTr="0068088E">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68088E" w:rsidRDefault="0068088E">
            <w:pPr>
              <w:jc w:val="center"/>
              <w:rPr>
                <w:lang w:eastAsia="lt-LT"/>
              </w:rPr>
            </w:pPr>
            <w:r>
              <w:rPr>
                <w:lang w:eastAsia="lt-LT"/>
              </w:rPr>
              <w:t>3.</w:t>
            </w:r>
          </w:p>
        </w:tc>
        <w:tc>
          <w:tcPr>
            <w:tcW w:w="3544" w:type="dxa"/>
            <w:tcBorders>
              <w:top w:val="single" w:sz="4" w:space="0" w:color="000000"/>
              <w:left w:val="single" w:sz="4" w:space="0" w:color="auto"/>
              <w:bottom w:val="single" w:sz="4" w:space="0" w:color="000000"/>
              <w:right w:val="single" w:sz="4" w:space="0" w:color="000000"/>
            </w:tcBorders>
          </w:tcPr>
          <w:p w:rsidR="0068088E" w:rsidRDefault="0068088E">
            <w:pPr>
              <w:rPr>
                <w:lang w:eastAsia="lt-LT"/>
              </w:rPr>
            </w:pPr>
          </w:p>
          <w:p w:rsidR="0068088E" w:rsidRDefault="0068088E">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r>
      <w:tr w:rsidR="0068088E" w:rsidTr="0068088E">
        <w:trPr>
          <w:trHeight w:val="510"/>
        </w:trPr>
        <w:tc>
          <w:tcPr>
            <w:tcW w:w="675" w:type="dxa"/>
            <w:tcBorders>
              <w:top w:val="single" w:sz="4" w:space="0" w:color="000000"/>
              <w:left w:val="single" w:sz="4" w:space="0" w:color="000000"/>
              <w:bottom w:val="single" w:sz="4" w:space="0" w:color="000000"/>
              <w:right w:val="single" w:sz="4" w:space="0" w:color="auto"/>
            </w:tcBorders>
          </w:tcPr>
          <w:p w:rsidR="0068088E" w:rsidRDefault="0068088E">
            <w:pPr>
              <w:jc w:val="center"/>
              <w:rPr>
                <w:lang w:eastAsia="lt-LT"/>
              </w:rPr>
            </w:pPr>
            <w:r>
              <w:rPr>
                <w:lang w:eastAsia="lt-LT"/>
              </w:rPr>
              <w:t>4.</w:t>
            </w:r>
          </w:p>
          <w:p w:rsidR="0068088E" w:rsidRDefault="0068088E">
            <w:pPr>
              <w:jc w:val="center"/>
              <w:rPr>
                <w:lang w:eastAsia="lt-LT"/>
              </w:rPr>
            </w:pPr>
          </w:p>
        </w:tc>
        <w:tc>
          <w:tcPr>
            <w:tcW w:w="3544" w:type="dxa"/>
            <w:tcBorders>
              <w:top w:val="single" w:sz="4" w:space="0" w:color="000000"/>
              <w:left w:val="single" w:sz="4" w:space="0" w:color="auto"/>
              <w:bottom w:val="single" w:sz="4" w:space="0" w:color="000000"/>
              <w:right w:val="single" w:sz="4" w:space="0" w:color="000000"/>
            </w:tcBorders>
          </w:tcPr>
          <w:p w:rsidR="0068088E" w:rsidRDefault="0068088E">
            <w:pPr>
              <w:rPr>
                <w:lang w:eastAsia="lt-LT"/>
              </w:rPr>
            </w:pPr>
          </w:p>
          <w:p w:rsidR="0068088E" w:rsidRDefault="0068088E">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r>
      <w:tr w:rsidR="0068088E" w:rsidTr="0068088E">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68088E" w:rsidRDefault="0068088E">
            <w:pPr>
              <w:jc w:val="center"/>
              <w:rPr>
                <w:lang w:eastAsia="lt-LT"/>
              </w:rPr>
            </w:pPr>
            <w:r>
              <w:rPr>
                <w:lang w:eastAsia="lt-LT"/>
              </w:rPr>
              <w:t>5.</w:t>
            </w:r>
          </w:p>
        </w:tc>
        <w:tc>
          <w:tcPr>
            <w:tcW w:w="3544" w:type="dxa"/>
            <w:tcBorders>
              <w:top w:val="single" w:sz="4" w:space="0" w:color="000000"/>
              <w:left w:val="single" w:sz="4" w:space="0" w:color="auto"/>
              <w:bottom w:val="single" w:sz="4" w:space="0" w:color="000000"/>
              <w:right w:val="single" w:sz="4" w:space="0" w:color="000000"/>
            </w:tcBorders>
          </w:tcPr>
          <w:p w:rsidR="0068088E" w:rsidRDefault="0068088E">
            <w:pPr>
              <w:rPr>
                <w:lang w:eastAsia="lt-LT"/>
              </w:rPr>
            </w:pPr>
          </w:p>
          <w:p w:rsidR="0068088E" w:rsidRDefault="0068088E">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r>
      <w:tr w:rsidR="0068088E" w:rsidTr="0068088E">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68088E" w:rsidRDefault="0068088E">
            <w:pPr>
              <w:jc w:val="center"/>
              <w:rPr>
                <w:lang w:eastAsia="lt-LT"/>
              </w:rPr>
            </w:pPr>
            <w:r>
              <w:rPr>
                <w:lang w:eastAsia="lt-LT"/>
              </w:rPr>
              <w:t>6.</w:t>
            </w:r>
          </w:p>
        </w:tc>
        <w:tc>
          <w:tcPr>
            <w:tcW w:w="3544" w:type="dxa"/>
            <w:tcBorders>
              <w:top w:val="single" w:sz="4" w:space="0" w:color="000000"/>
              <w:left w:val="single" w:sz="4" w:space="0" w:color="auto"/>
              <w:bottom w:val="single" w:sz="4" w:space="0" w:color="000000"/>
              <w:right w:val="single" w:sz="4" w:space="0" w:color="000000"/>
            </w:tcBorders>
          </w:tcPr>
          <w:p w:rsidR="0068088E" w:rsidRDefault="0068088E">
            <w:pPr>
              <w:rPr>
                <w:lang w:eastAsia="lt-LT"/>
              </w:rPr>
            </w:pPr>
          </w:p>
          <w:p w:rsidR="0068088E" w:rsidRDefault="0068088E">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r>
      <w:tr w:rsidR="0068088E" w:rsidTr="0068088E">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68088E" w:rsidRDefault="0068088E">
            <w:pPr>
              <w:jc w:val="center"/>
              <w:rPr>
                <w:lang w:eastAsia="lt-LT"/>
              </w:rPr>
            </w:pPr>
            <w:r>
              <w:rPr>
                <w:lang w:eastAsia="lt-LT"/>
              </w:rPr>
              <w:t>7.</w:t>
            </w:r>
          </w:p>
        </w:tc>
        <w:tc>
          <w:tcPr>
            <w:tcW w:w="3544" w:type="dxa"/>
            <w:tcBorders>
              <w:top w:val="single" w:sz="4" w:space="0" w:color="000000"/>
              <w:left w:val="single" w:sz="4" w:space="0" w:color="auto"/>
              <w:bottom w:val="single" w:sz="4" w:space="0" w:color="000000"/>
              <w:right w:val="single" w:sz="4" w:space="0" w:color="000000"/>
            </w:tcBorders>
          </w:tcPr>
          <w:p w:rsidR="0068088E" w:rsidRDefault="0068088E">
            <w:pPr>
              <w:rPr>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68088E" w:rsidRDefault="0068088E">
            <w:pPr>
              <w:rPr>
                <w:lang w:eastAsia="lt-LT"/>
              </w:rPr>
            </w:pPr>
          </w:p>
        </w:tc>
      </w:tr>
    </w:tbl>
    <w:p w:rsidR="0068088E" w:rsidRDefault="0068088E" w:rsidP="0068088E">
      <w:pPr>
        <w:pStyle w:val="Sraopastraipa"/>
        <w:spacing w:before="360"/>
        <w:ind w:left="1440"/>
        <w:rPr>
          <w:rFonts w:ascii="Palemonas" w:hAnsi="Palemonas"/>
          <w:bCs/>
        </w:rPr>
      </w:pPr>
    </w:p>
    <w:p w:rsidR="008B3D06" w:rsidRDefault="008B3D06"/>
    <w:sectPr w:rsidR="008B3D06" w:rsidSect="0031028B">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64" w:rsidRDefault="00247A64" w:rsidP="0031028B">
      <w:r>
        <w:separator/>
      </w:r>
    </w:p>
  </w:endnote>
  <w:endnote w:type="continuationSeparator" w:id="0">
    <w:p w:rsidR="00247A64" w:rsidRDefault="00247A64" w:rsidP="003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alemonas">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8B" w:rsidRDefault="0031028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8B" w:rsidRDefault="0031028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8B" w:rsidRDefault="0031028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64" w:rsidRDefault="00247A64" w:rsidP="0031028B">
      <w:r>
        <w:separator/>
      </w:r>
    </w:p>
  </w:footnote>
  <w:footnote w:type="continuationSeparator" w:id="0">
    <w:p w:rsidR="00247A64" w:rsidRDefault="00247A64" w:rsidP="003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8B" w:rsidRDefault="0031028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150742"/>
      <w:docPartObj>
        <w:docPartGallery w:val="Page Numbers (Top of Page)"/>
        <w:docPartUnique/>
      </w:docPartObj>
    </w:sdtPr>
    <w:sdtEndPr/>
    <w:sdtContent>
      <w:p w:rsidR="0031028B" w:rsidRDefault="0031028B">
        <w:pPr>
          <w:pStyle w:val="Antrats"/>
          <w:jc w:val="center"/>
        </w:pPr>
        <w:r>
          <w:fldChar w:fldCharType="begin"/>
        </w:r>
        <w:r>
          <w:instrText>PAGE   \* MERGEFORMAT</w:instrText>
        </w:r>
        <w:r>
          <w:fldChar w:fldCharType="separate"/>
        </w:r>
        <w:r>
          <w:rPr>
            <w:lang w:val="lt-LT"/>
          </w:rPr>
          <w:t>2</w:t>
        </w:r>
        <w:r>
          <w:fldChar w:fldCharType="end"/>
        </w:r>
      </w:p>
    </w:sdtContent>
  </w:sdt>
  <w:p w:rsidR="0031028B" w:rsidRDefault="0031028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8B" w:rsidRDefault="0031028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8E"/>
    <w:rsid w:val="000921F0"/>
    <w:rsid w:val="0017770C"/>
    <w:rsid w:val="001A41BF"/>
    <w:rsid w:val="00247A64"/>
    <w:rsid w:val="0031028B"/>
    <w:rsid w:val="003C64FD"/>
    <w:rsid w:val="004504A6"/>
    <w:rsid w:val="004B6CCB"/>
    <w:rsid w:val="006611BE"/>
    <w:rsid w:val="0068088E"/>
    <w:rsid w:val="00724520"/>
    <w:rsid w:val="008B3D06"/>
    <w:rsid w:val="00BB1607"/>
    <w:rsid w:val="00E84A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C47FD"/>
  <w15:chartTrackingRefBased/>
  <w15:docId w15:val="{E6ADD098-20DD-4DC2-92C8-CA688B7C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8088E"/>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8088E"/>
    <w:pPr>
      <w:ind w:left="720"/>
      <w:contextualSpacing/>
    </w:pPr>
    <w:rPr>
      <w:lang w:val="lt-LT" w:eastAsia="lt-LT"/>
    </w:rPr>
  </w:style>
  <w:style w:type="character" w:customStyle="1" w:styleId="apple-converted-space">
    <w:name w:val="apple-converted-space"/>
    <w:rsid w:val="0068088E"/>
  </w:style>
  <w:style w:type="paragraph" w:styleId="Antrats">
    <w:name w:val="header"/>
    <w:basedOn w:val="prastasis"/>
    <w:link w:val="AntratsDiagrama"/>
    <w:uiPriority w:val="99"/>
    <w:unhideWhenUsed/>
    <w:rsid w:val="0031028B"/>
    <w:pPr>
      <w:tabs>
        <w:tab w:val="center" w:pos="4819"/>
        <w:tab w:val="right" w:pos="9638"/>
      </w:tabs>
    </w:pPr>
  </w:style>
  <w:style w:type="character" w:customStyle="1" w:styleId="AntratsDiagrama">
    <w:name w:val="Antraštės Diagrama"/>
    <w:basedOn w:val="Numatytasispastraiposriftas"/>
    <w:link w:val="Antrats"/>
    <w:uiPriority w:val="99"/>
    <w:rsid w:val="0031028B"/>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31028B"/>
    <w:pPr>
      <w:tabs>
        <w:tab w:val="center" w:pos="4819"/>
        <w:tab w:val="right" w:pos="9638"/>
      </w:tabs>
    </w:pPr>
  </w:style>
  <w:style w:type="character" w:customStyle="1" w:styleId="PoratDiagrama">
    <w:name w:val="Poraštė Diagrama"/>
    <w:basedOn w:val="Numatytasispastraiposriftas"/>
    <w:link w:val="Porat"/>
    <w:uiPriority w:val="99"/>
    <w:rsid w:val="0031028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04A2-8E0E-4541-8E31-4AFEC90A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4148</Words>
  <Characters>2365</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AusraT</dc:creator>
  <cp:keywords/>
  <dc:description/>
  <cp:lastModifiedBy>AusraT</cp:lastModifiedBy>
  <cp:revision>15</cp:revision>
  <cp:lastPrinted>2019-06-04T12:02:00Z</cp:lastPrinted>
  <dcterms:created xsi:type="dcterms:W3CDTF">2019-04-09T12:25:00Z</dcterms:created>
  <dcterms:modified xsi:type="dcterms:W3CDTF">2019-06-04T12:03:00Z</dcterms:modified>
</cp:coreProperties>
</file>