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4A0" w:firstRow="1" w:lastRow="0" w:firstColumn="1" w:lastColumn="0" w:noHBand="0" w:noVBand="1"/>
      </w:tblPr>
      <w:tblGrid>
        <w:gridCol w:w="4918"/>
        <w:gridCol w:w="4936"/>
      </w:tblGrid>
      <w:tr w:rsidR="00486231" w:rsidTr="00486231">
        <w:trPr>
          <w:trHeight w:val="1"/>
        </w:trPr>
        <w:tc>
          <w:tcPr>
            <w:tcW w:w="4918" w:type="dxa"/>
            <w:shd w:val="clear" w:color="auto" w:fill="FFFFFF"/>
          </w:tcPr>
          <w:p w:rsidR="00486231" w:rsidRDefault="00486231">
            <w:pPr>
              <w:autoSpaceDE w:val="0"/>
              <w:autoSpaceDN w:val="0"/>
              <w:adjustRightInd w:val="0"/>
              <w:spacing w:line="276" w:lineRule="auto"/>
              <w:ind w:right="480"/>
              <w:jc w:val="center"/>
              <w:rPr>
                <w:rFonts w:ascii="Calibri" w:hAnsi="Calibri" w:cs="Calibri"/>
                <w:noProof w:val="0"/>
                <w:sz w:val="22"/>
                <w:szCs w:val="22"/>
                <w:lang w:val="en-US"/>
              </w:rPr>
            </w:pPr>
          </w:p>
          <w:p w:rsidR="00B1736A" w:rsidRPr="00B1736A" w:rsidRDefault="00B1736A" w:rsidP="00B1736A">
            <w:pPr>
              <w:rPr>
                <w:rFonts w:ascii="Calibri" w:hAnsi="Calibri" w:cs="Calibri"/>
                <w:sz w:val="22"/>
                <w:szCs w:val="22"/>
                <w:lang w:val="en-US"/>
              </w:rPr>
            </w:pPr>
          </w:p>
          <w:p w:rsidR="00B1736A" w:rsidRPr="00B1736A" w:rsidRDefault="00B1736A" w:rsidP="00B1736A">
            <w:pPr>
              <w:rPr>
                <w:rFonts w:ascii="Calibri" w:hAnsi="Calibri" w:cs="Calibri"/>
                <w:sz w:val="22"/>
                <w:szCs w:val="22"/>
                <w:lang w:val="en-US"/>
              </w:rPr>
            </w:pPr>
          </w:p>
          <w:p w:rsidR="00B1736A" w:rsidRPr="00B1736A" w:rsidRDefault="00B1736A" w:rsidP="00B1736A">
            <w:pPr>
              <w:rPr>
                <w:rFonts w:ascii="Calibri" w:hAnsi="Calibri" w:cs="Calibri"/>
                <w:sz w:val="22"/>
                <w:szCs w:val="22"/>
                <w:lang w:val="en-US"/>
              </w:rPr>
            </w:pPr>
          </w:p>
          <w:p w:rsidR="00B1736A" w:rsidRDefault="00B1736A" w:rsidP="00B1736A">
            <w:pPr>
              <w:rPr>
                <w:rFonts w:ascii="Calibri" w:hAnsi="Calibri" w:cs="Calibri"/>
                <w:noProof w:val="0"/>
                <w:sz w:val="22"/>
                <w:szCs w:val="22"/>
                <w:lang w:val="en-US"/>
              </w:rPr>
            </w:pPr>
          </w:p>
          <w:p w:rsidR="00B1736A" w:rsidRPr="00B1736A" w:rsidRDefault="00B1736A" w:rsidP="00B1736A">
            <w:pPr>
              <w:rPr>
                <w:rFonts w:ascii="Calibri" w:hAnsi="Calibri" w:cs="Calibri"/>
                <w:sz w:val="22"/>
                <w:szCs w:val="22"/>
                <w:lang w:val="en-US"/>
              </w:rPr>
            </w:pPr>
          </w:p>
        </w:tc>
        <w:tc>
          <w:tcPr>
            <w:tcW w:w="4936" w:type="dxa"/>
            <w:shd w:val="clear" w:color="auto" w:fill="FFFFFF"/>
          </w:tcPr>
          <w:p w:rsidR="00B1736A" w:rsidRDefault="00B1736A">
            <w:pPr>
              <w:ind w:left="1280" w:hanging="708"/>
            </w:pPr>
          </w:p>
          <w:p w:rsidR="00B1736A" w:rsidRPr="00B1736A" w:rsidRDefault="00B1736A" w:rsidP="00B1736A">
            <w:pPr>
              <w:spacing w:line="256" w:lineRule="auto"/>
              <w:ind w:left="1280" w:hanging="708"/>
              <w:rPr>
                <w:noProof w:val="0"/>
                <w:lang w:val="lt-LT"/>
              </w:rPr>
            </w:pPr>
            <w:r w:rsidRPr="00B1736A">
              <w:rPr>
                <w:noProof w:val="0"/>
                <w:lang w:val="lt-LT"/>
              </w:rPr>
              <w:t>PATVIRTINTA</w:t>
            </w:r>
          </w:p>
          <w:p w:rsidR="00B1736A" w:rsidRPr="00B1736A" w:rsidRDefault="00B1736A" w:rsidP="00B1736A">
            <w:pPr>
              <w:spacing w:line="256" w:lineRule="auto"/>
              <w:ind w:left="572"/>
              <w:rPr>
                <w:noProof w:val="0"/>
                <w:lang w:val="lt-LT"/>
              </w:rPr>
            </w:pPr>
            <w:r w:rsidRPr="00B1736A">
              <w:rPr>
                <w:noProof w:val="0"/>
                <w:lang w:val="lt-LT"/>
              </w:rPr>
              <w:t>Palangos lopšelio-darželio ,,Sigutė“ direktoriaus 2019 m. gegužės 27 d.</w:t>
            </w:r>
          </w:p>
          <w:p w:rsidR="00B1736A" w:rsidRPr="00B1736A" w:rsidRDefault="00B1736A" w:rsidP="00B1736A">
            <w:pPr>
              <w:spacing w:line="256" w:lineRule="auto"/>
              <w:ind w:left="1280" w:hanging="708"/>
              <w:rPr>
                <w:noProof w:val="0"/>
                <w:lang w:val="lt-LT"/>
              </w:rPr>
            </w:pPr>
            <w:r w:rsidRPr="00B1736A">
              <w:rPr>
                <w:noProof w:val="0"/>
                <w:lang w:val="lt-LT"/>
              </w:rPr>
              <w:t>įsakymo Nr. V1V-15</w:t>
            </w:r>
          </w:p>
          <w:p w:rsidR="00B1736A" w:rsidRPr="00B1736A" w:rsidRDefault="00B1736A" w:rsidP="00B1736A">
            <w:pPr>
              <w:spacing w:line="256" w:lineRule="auto"/>
              <w:ind w:left="1280" w:hanging="708"/>
              <w:rPr>
                <w:noProof w:val="0"/>
                <w:lang w:val="lt-LT"/>
              </w:rPr>
            </w:pPr>
            <w:r w:rsidRPr="00B1736A">
              <w:rPr>
                <w:noProof w:val="0"/>
                <w:lang w:val="lt-LT"/>
              </w:rPr>
              <w:t>1.</w:t>
            </w:r>
            <w:r>
              <w:rPr>
                <w:noProof w:val="0"/>
                <w:lang w:val="lt-LT"/>
              </w:rPr>
              <w:t>3</w:t>
            </w:r>
            <w:r w:rsidRPr="00B1736A">
              <w:rPr>
                <w:noProof w:val="0"/>
                <w:lang w:val="lt-LT"/>
              </w:rPr>
              <w:t>. punktu</w:t>
            </w:r>
          </w:p>
          <w:p w:rsidR="00B1736A" w:rsidRDefault="00B1736A">
            <w:pPr>
              <w:ind w:left="1280" w:hanging="708"/>
            </w:pPr>
          </w:p>
          <w:p w:rsidR="00486231" w:rsidRDefault="00486231" w:rsidP="00B1736A">
            <w:pPr>
              <w:autoSpaceDE w:val="0"/>
              <w:autoSpaceDN w:val="0"/>
              <w:adjustRightInd w:val="0"/>
              <w:spacing w:line="276" w:lineRule="auto"/>
              <w:rPr>
                <w:rFonts w:ascii="Palemonas" w:hAnsi="Palemonas" w:cs="Calibri"/>
                <w:noProof w:val="0"/>
                <w:lang w:val="en-US"/>
              </w:rPr>
            </w:pPr>
          </w:p>
        </w:tc>
      </w:tr>
      <w:tr w:rsidR="00B1736A" w:rsidTr="00486231">
        <w:trPr>
          <w:trHeight w:val="1"/>
        </w:trPr>
        <w:tc>
          <w:tcPr>
            <w:tcW w:w="4918" w:type="dxa"/>
            <w:shd w:val="clear" w:color="auto" w:fill="FFFFFF"/>
          </w:tcPr>
          <w:p w:rsidR="00B1736A" w:rsidRDefault="00B1736A" w:rsidP="00B1736A">
            <w:pPr>
              <w:autoSpaceDE w:val="0"/>
              <w:autoSpaceDN w:val="0"/>
              <w:adjustRightInd w:val="0"/>
              <w:spacing w:line="276" w:lineRule="auto"/>
              <w:ind w:right="480"/>
              <w:rPr>
                <w:rFonts w:ascii="Calibri" w:hAnsi="Calibri" w:cs="Calibri"/>
                <w:noProof w:val="0"/>
                <w:sz w:val="22"/>
                <w:szCs w:val="22"/>
                <w:lang w:val="en-US"/>
              </w:rPr>
            </w:pPr>
          </w:p>
        </w:tc>
        <w:tc>
          <w:tcPr>
            <w:tcW w:w="4936" w:type="dxa"/>
            <w:shd w:val="clear" w:color="auto" w:fill="FFFFFF"/>
          </w:tcPr>
          <w:p w:rsidR="00B1736A" w:rsidRDefault="00B1736A">
            <w:pPr>
              <w:ind w:left="1280" w:hanging="708"/>
            </w:pPr>
          </w:p>
        </w:tc>
      </w:tr>
    </w:tbl>
    <w:p w:rsidR="00486231" w:rsidRDefault="00486231" w:rsidP="00486231">
      <w:pPr>
        <w:tabs>
          <w:tab w:val="left" w:pos="360"/>
        </w:tabs>
        <w:autoSpaceDE w:val="0"/>
        <w:autoSpaceDN w:val="0"/>
        <w:adjustRightInd w:val="0"/>
        <w:jc w:val="center"/>
        <w:rPr>
          <w:b/>
          <w:bCs/>
          <w:noProof w:val="0"/>
          <w:lang w:val="lt-LT"/>
        </w:rPr>
      </w:pPr>
      <w:r>
        <w:rPr>
          <w:b/>
          <w:bCs/>
          <w:noProof w:val="0"/>
          <w:lang w:val="lt-LT"/>
        </w:rPr>
        <w:t>PALANGOS LOPŠELIO-DARŽELIO ,,SIGUTĖ“</w:t>
      </w:r>
    </w:p>
    <w:p w:rsidR="00486231" w:rsidRDefault="00486231" w:rsidP="00486231">
      <w:pPr>
        <w:tabs>
          <w:tab w:val="left" w:pos="360"/>
        </w:tabs>
        <w:autoSpaceDE w:val="0"/>
        <w:autoSpaceDN w:val="0"/>
        <w:adjustRightInd w:val="0"/>
        <w:jc w:val="center"/>
        <w:rPr>
          <w:b/>
          <w:bCs/>
          <w:noProof w:val="0"/>
          <w:lang w:val="lt-LT"/>
        </w:rPr>
      </w:pPr>
      <w:r>
        <w:rPr>
          <w:b/>
          <w:bCs/>
          <w:noProof w:val="0"/>
          <w:lang w:val="lt-LT"/>
        </w:rPr>
        <w:t xml:space="preserve">MENINIO UGDYMO MOKYTOJO </w:t>
      </w:r>
      <w:r>
        <w:rPr>
          <w:b/>
          <w:bCs/>
          <w:noProof w:val="0"/>
          <w:lang w:val="en-US"/>
        </w:rPr>
        <w:t>PAREIGYB</w:t>
      </w:r>
      <w:r>
        <w:rPr>
          <w:b/>
          <w:bCs/>
          <w:noProof w:val="0"/>
          <w:lang w:val="lt-LT"/>
        </w:rPr>
        <w:t>ĖS APRAŠYMAS</w:t>
      </w:r>
    </w:p>
    <w:p w:rsidR="00486231" w:rsidRDefault="00486231" w:rsidP="00486231">
      <w:pPr>
        <w:autoSpaceDE w:val="0"/>
        <w:autoSpaceDN w:val="0"/>
        <w:adjustRightInd w:val="0"/>
        <w:rPr>
          <w:noProof w:val="0"/>
          <w:color w:val="000000"/>
          <w:lang w:val="en-US"/>
        </w:rPr>
      </w:pPr>
    </w:p>
    <w:p w:rsidR="00486231" w:rsidRPr="00D06ED6" w:rsidRDefault="00486231" w:rsidP="00D06ED6">
      <w:pPr>
        <w:pStyle w:val="Sraopastraipa"/>
        <w:numPr>
          <w:ilvl w:val="0"/>
          <w:numId w:val="1"/>
        </w:numPr>
        <w:tabs>
          <w:tab w:val="left" w:pos="3402"/>
        </w:tabs>
        <w:autoSpaceDE w:val="0"/>
        <w:autoSpaceDN w:val="0"/>
        <w:adjustRightInd w:val="0"/>
        <w:jc w:val="center"/>
        <w:rPr>
          <w:b/>
          <w:bCs/>
          <w:color w:val="000000"/>
        </w:rPr>
      </w:pPr>
      <w:r w:rsidRPr="00D06ED6">
        <w:rPr>
          <w:b/>
          <w:bCs/>
          <w:color w:val="000000"/>
          <w:lang w:val="en-US"/>
        </w:rPr>
        <w:t>PAREIGYB</w:t>
      </w:r>
      <w:r w:rsidRPr="00D06ED6">
        <w:rPr>
          <w:b/>
          <w:bCs/>
          <w:color w:val="000000"/>
        </w:rPr>
        <w:t>Ė</w:t>
      </w:r>
    </w:p>
    <w:p w:rsidR="00486231" w:rsidRDefault="00486231" w:rsidP="00486231">
      <w:pPr>
        <w:tabs>
          <w:tab w:val="left" w:pos="3402"/>
        </w:tabs>
        <w:autoSpaceDE w:val="0"/>
        <w:autoSpaceDN w:val="0"/>
        <w:adjustRightInd w:val="0"/>
        <w:ind w:left="1080"/>
        <w:jc w:val="both"/>
        <w:rPr>
          <w:b/>
          <w:bCs/>
          <w:noProof w:val="0"/>
          <w:color w:val="000000"/>
          <w:lang w:val="lt-LT"/>
        </w:rPr>
      </w:pPr>
    </w:p>
    <w:p w:rsidR="00486231" w:rsidRDefault="00486231" w:rsidP="00486231">
      <w:pPr>
        <w:tabs>
          <w:tab w:val="left" w:pos="709"/>
        </w:tabs>
        <w:jc w:val="both"/>
        <w:rPr>
          <w:lang w:val="lt-LT"/>
        </w:rPr>
      </w:pPr>
      <w:r>
        <w:rPr>
          <w:sz w:val="23"/>
          <w:szCs w:val="23"/>
          <w:lang w:val="lt-LT"/>
        </w:rPr>
        <w:tab/>
      </w:r>
      <w:r>
        <w:rPr>
          <w:sz w:val="23"/>
          <w:szCs w:val="23"/>
          <w:lang w:val="lt-LT"/>
        </w:rPr>
        <w:tab/>
      </w:r>
      <w:r>
        <w:rPr>
          <w:lang w:val="lt-LT"/>
        </w:rPr>
        <w:t>1. Lopšelio-darželio ,,Sigutė“ (toliau tekste – Mokykla) meninio ugdymo mokytojas, priskiriamas pedagoginiams darbuotojams yra specialistas, profesijų klasifikatoriaus kodas- 235501.</w:t>
      </w:r>
    </w:p>
    <w:p w:rsidR="00486231" w:rsidRDefault="00486231" w:rsidP="00486231">
      <w:pPr>
        <w:tabs>
          <w:tab w:val="left" w:pos="709"/>
        </w:tabs>
        <w:jc w:val="both"/>
        <w:rPr>
          <w:lang w:val="lt-LT"/>
        </w:rPr>
      </w:pPr>
      <w:r>
        <w:rPr>
          <w:lang w:val="lt-LT"/>
        </w:rPr>
        <w:tab/>
      </w:r>
      <w:r>
        <w:rPr>
          <w:lang w:val="lt-LT"/>
        </w:rPr>
        <w:tab/>
        <w:t xml:space="preserve">2. Pareigybės lygis – A2. </w:t>
      </w:r>
    </w:p>
    <w:p w:rsidR="00486231" w:rsidRDefault="00486231" w:rsidP="00486231">
      <w:pPr>
        <w:tabs>
          <w:tab w:val="left" w:pos="0"/>
        </w:tabs>
        <w:jc w:val="both"/>
        <w:rPr>
          <w:lang w:val="lt-LT"/>
        </w:rPr>
      </w:pPr>
      <w:r>
        <w:rPr>
          <w:lang w:val="lt-LT"/>
        </w:rPr>
        <w:tab/>
        <w:t xml:space="preserve">3. </w:t>
      </w:r>
      <w:r>
        <w:rPr>
          <w:color w:val="000000"/>
        </w:rPr>
        <w:t xml:space="preserve">Pareigybės paskirtis – </w:t>
      </w:r>
      <w:r>
        <w:rPr>
          <w:lang w:val="lt-LT"/>
        </w:rPr>
        <w:t>organizuoti ikimokyklinio ir priešmokyklinio amžiaus vaikų meninį ugdymą, vadovaujantis įstaigoje patvirtinta programa ir Priešmokyklinio ugdymo bendrąja programa.</w:t>
      </w:r>
    </w:p>
    <w:p w:rsidR="00486231" w:rsidRDefault="00486231" w:rsidP="00486231">
      <w:pPr>
        <w:tabs>
          <w:tab w:val="left" w:pos="0"/>
        </w:tabs>
        <w:jc w:val="both"/>
        <w:rPr>
          <w:lang w:val="lt-LT"/>
        </w:rPr>
      </w:pPr>
      <w:r>
        <w:rPr>
          <w:lang w:val="lt-LT"/>
        </w:rPr>
        <w:tab/>
        <w:t>4. Meninio ugdymo mokytojas yra tiesiogiai pavaldus Mokyklos direktoriui.</w:t>
      </w:r>
    </w:p>
    <w:p w:rsidR="00486231" w:rsidRDefault="00486231" w:rsidP="00486231">
      <w:pPr>
        <w:autoSpaceDE w:val="0"/>
        <w:autoSpaceDN w:val="0"/>
        <w:adjustRightInd w:val="0"/>
        <w:jc w:val="both"/>
        <w:rPr>
          <w:b/>
          <w:bCs/>
          <w:noProof w:val="0"/>
          <w:color w:val="000000"/>
          <w:lang w:val="lt-LT"/>
        </w:rPr>
      </w:pPr>
    </w:p>
    <w:p w:rsidR="00486231" w:rsidRPr="00D06ED6" w:rsidRDefault="00486231" w:rsidP="00D06ED6">
      <w:pPr>
        <w:pStyle w:val="Sraopastraipa"/>
        <w:numPr>
          <w:ilvl w:val="0"/>
          <w:numId w:val="1"/>
        </w:numPr>
        <w:autoSpaceDE w:val="0"/>
        <w:autoSpaceDN w:val="0"/>
        <w:adjustRightInd w:val="0"/>
        <w:jc w:val="center"/>
        <w:rPr>
          <w:b/>
          <w:bCs/>
          <w:color w:val="000000"/>
        </w:rPr>
      </w:pPr>
      <w:r w:rsidRPr="00D06ED6">
        <w:rPr>
          <w:b/>
          <w:bCs/>
          <w:color w:val="000000"/>
        </w:rPr>
        <w:t>SPECIALIEJI REIKALAVIMAI MENINIO UGDYMO MOKYTOJUI</w:t>
      </w:r>
    </w:p>
    <w:p w:rsidR="00486231" w:rsidRDefault="00486231" w:rsidP="00486231">
      <w:pPr>
        <w:autoSpaceDE w:val="0"/>
        <w:autoSpaceDN w:val="0"/>
        <w:adjustRightInd w:val="0"/>
        <w:ind w:firstLine="782"/>
        <w:jc w:val="both"/>
        <w:rPr>
          <w:noProof w:val="0"/>
          <w:lang w:val="lt-LT"/>
        </w:rPr>
      </w:pPr>
    </w:p>
    <w:p w:rsidR="00486231" w:rsidRDefault="00486231" w:rsidP="00486231">
      <w:pPr>
        <w:autoSpaceDE w:val="0"/>
        <w:autoSpaceDN w:val="0"/>
        <w:adjustRightInd w:val="0"/>
        <w:ind w:firstLine="1296"/>
        <w:jc w:val="both"/>
        <w:rPr>
          <w:noProof w:val="0"/>
          <w:lang w:val="lt-LT"/>
        </w:rPr>
      </w:pPr>
      <w:r>
        <w:rPr>
          <w:noProof w:val="0"/>
          <w:lang w:val="lt-LT"/>
        </w:rPr>
        <w:t>5. Meninio ugdymo mokytojas, einantis šias pareigas, turi atitikti šiuos specialius reikalavimus:</w:t>
      </w:r>
    </w:p>
    <w:p w:rsidR="00486231" w:rsidRDefault="00486231" w:rsidP="00486231">
      <w:pPr>
        <w:autoSpaceDE w:val="0"/>
        <w:autoSpaceDN w:val="0"/>
        <w:adjustRightInd w:val="0"/>
        <w:ind w:firstLine="1296"/>
        <w:jc w:val="both"/>
        <w:rPr>
          <w:noProof w:val="0"/>
          <w:lang w:val="lt-LT"/>
        </w:rPr>
      </w:pPr>
      <w:r>
        <w:rPr>
          <w:noProof w:val="0"/>
          <w:lang w:val="lt-LT"/>
        </w:rPr>
        <w:t>5.1. turi turėti ne žemesnį kaip aukštesnįjį, įgytą iki 2009 m., arba aukštąjį išsilavinimą ir būti išklausęs ne mažiau kaip 40 valandų (1,5 studijų kreditų) ikimokyklinio ir (ar) priešmokyklinio ugdymo metodikos kursų;</w:t>
      </w:r>
    </w:p>
    <w:p w:rsidR="00486231" w:rsidRDefault="00486231" w:rsidP="00486231">
      <w:pPr>
        <w:autoSpaceDE w:val="0"/>
        <w:autoSpaceDN w:val="0"/>
        <w:adjustRightInd w:val="0"/>
        <w:ind w:firstLine="1296"/>
        <w:jc w:val="both"/>
        <w:rPr>
          <w:noProof w:val="0"/>
          <w:lang w:val="lt-LT"/>
        </w:rPr>
      </w:pPr>
      <w:r>
        <w:rPr>
          <w:noProof w:val="0"/>
          <w:lang w:val="lt-LT"/>
        </w:rPr>
        <w:t>5.2. turėti mokytojo kvalifikacinę kategoriją;</w:t>
      </w:r>
    </w:p>
    <w:p w:rsidR="00486231" w:rsidRDefault="00486231" w:rsidP="00486231">
      <w:pPr>
        <w:ind w:left="60" w:firstLine="1236"/>
        <w:jc w:val="both"/>
        <w:rPr>
          <w:noProof w:val="0"/>
          <w:lang w:val="lt-LT"/>
        </w:rPr>
      </w:pPr>
      <w:r>
        <w:rPr>
          <w:noProof w:val="0"/>
          <w:lang w:val="lt-LT"/>
        </w:rPr>
        <w:t>5.3.</w:t>
      </w:r>
      <w:r>
        <w:rPr>
          <w:noProof w:val="0"/>
          <w:lang w:val="en-GB"/>
        </w:rPr>
        <w:t xml:space="preserve"> </w:t>
      </w:r>
      <w:proofErr w:type="spellStart"/>
      <w:r>
        <w:rPr>
          <w:noProof w:val="0"/>
          <w:lang w:val="en-GB"/>
        </w:rPr>
        <w:t>mokėti</w:t>
      </w:r>
      <w:proofErr w:type="spellEnd"/>
      <w:r>
        <w:rPr>
          <w:noProof w:val="0"/>
          <w:lang w:val="en-GB"/>
        </w:rPr>
        <w:t xml:space="preserve"> </w:t>
      </w:r>
      <w:proofErr w:type="spellStart"/>
      <w:r>
        <w:rPr>
          <w:noProof w:val="0"/>
          <w:lang w:val="en-GB"/>
        </w:rPr>
        <w:t>valstybinę</w:t>
      </w:r>
      <w:proofErr w:type="spellEnd"/>
      <w:r>
        <w:rPr>
          <w:noProof w:val="0"/>
          <w:lang w:val="en-GB"/>
        </w:rPr>
        <w:t xml:space="preserve"> </w:t>
      </w:r>
      <w:proofErr w:type="spellStart"/>
      <w:r>
        <w:rPr>
          <w:noProof w:val="0"/>
          <w:lang w:val="en-GB"/>
        </w:rPr>
        <w:t>kalbą</w:t>
      </w:r>
      <w:proofErr w:type="spellEnd"/>
      <w:r>
        <w:rPr>
          <w:noProof w:val="0"/>
          <w:lang w:val="en-GB"/>
        </w:rPr>
        <w:t xml:space="preserve"> </w:t>
      </w:r>
      <w:proofErr w:type="spellStart"/>
      <w:r>
        <w:rPr>
          <w:noProof w:val="0"/>
          <w:lang w:val="en-GB"/>
        </w:rPr>
        <w:t>pagal</w:t>
      </w:r>
      <w:proofErr w:type="spellEnd"/>
      <w:r>
        <w:rPr>
          <w:noProof w:val="0"/>
          <w:lang w:val="en-GB"/>
        </w:rPr>
        <w:t xml:space="preserve"> </w:t>
      </w:r>
      <w:proofErr w:type="spellStart"/>
      <w:r>
        <w:rPr>
          <w:noProof w:val="0"/>
          <w:lang w:val="en-GB"/>
        </w:rPr>
        <w:t>trečiąją</w:t>
      </w:r>
      <w:proofErr w:type="spellEnd"/>
      <w:r>
        <w:rPr>
          <w:noProof w:val="0"/>
          <w:lang w:val="en-GB"/>
        </w:rPr>
        <w:t xml:space="preserve"> </w:t>
      </w:r>
      <w:proofErr w:type="spellStart"/>
      <w:r>
        <w:rPr>
          <w:noProof w:val="0"/>
          <w:lang w:val="en-GB"/>
        </w:rPr>
        <w:t>valstybinės</w:t>
      </w:r>
      <w:proofErr w:type="spellEnd"/>
      <w:r>
        <w:rPr>
          <w:noProof w:val="0"/>
          <w:lang w:val="en-GB"/>
        </w:rPr>
        <w:t xml:space="preserve"> </w:t>
      </w:r>
      <w:proofErr w:type="spellStart"/>
      <w:r>
        <w:rPr>
          <w:noProof w:val="0"/>
          <w:lang w:val="en-GB"/>
        </w:rPr>
        <w:t>kalbos</w:t>
      </w:r>
      <w:proofErr w:type="spellEnd"/>
      <w:r>
        <w:rPr>
          <w:noProof w:val="0"/>
          <w:lang w:val="en-GB"/>
        </w:rPr>
        <w:t xml:space="preserve"> </w:t>
      </w:r>
      <w:proofErr w:type="spellStart"/>
      <w:r>
        <w:rPr>
          <w:noProof w:val="0"/>
          <w:lang w:val="en-GB"/>
        </w:rPr>
        <w:t>mokėjimo</w:t>
      </w:r>
      <w:proofErr w:type="spellEnd"/>
      <w:r>
        <w:rPr>
          <w:noProof w:val="0"/>
          <w:lang w:val="en-GB"/>
        </w:rPr>
        <w:t xml:space="preserve"> </w:t>
      </w:r>
      <w:proofErr w:type="spellStart"/>
      <w:r>
        <w:rPr>
          <w:noProof w:val="0"/>
          <w:lang w:val="en-GB"/>
        </w:rPr>
        <w:t>kategoriją</w:t>
      </w:r>
      <w:proofErr w:type="spellEnd"/>
      <w:r>
        <w:rPr>
          <w:noProof w:val="0"/>
          <w:lang w:val="en-GB"/>
        </w:rPr>
        <w:t xml:space="preserve">, </w:t>
      </w:r>
      <w:proofErr w:type="spellStart"/>
      <w:r>
        <w:rPr>
          <w:noProof w:val="0"/>
          <w:lang w:val="en-GB"/>
        </w:rPr>
        <w:t>nustatytą</w:t>
      </w:r>
      <w:proofErr w:type="spellEnd"/>
      <w:r>
        <w:rPr>
          <w:noProof w:val="0"/>
          <w:lang w:val="lt-LT"/>
        </w:rPr>
        <w:t xml:space="preserve"> Lietuvos Respublikos Vyriausybės 2003 m. gruodžio 24 d. nutarimu Nr. 1688 ,,Dėl valstybinės kalbos mokėjimo kategorijų patvirtinimo ir įgyvendinimo“; </w:t>
      </w:r>
    </w:p>
    <w:p w:rsidR="00486231" w:rsidRDefault="00486231" w:rsidP="00486231">
      <w:pPr>
        <w:ind w:left="60" w:firstLine="1236"/>
        <w:jc w:val="both"/>
        <w:rPr>
          <w:noProof w:val="0"/>
          <w:lang w:val="lt-LT"/>
        </w:rPr>
      </w:pPr>
      <w:r>
        <w:rPr>
          <w:noProof w:val="0"/>
          <w:lang w:val="lt-LT"/>
        </w:rPr>
        <w:t>5.4. būti įgijęs kompetencijas, numatytas Reikalavimuose mokytojų kompiuterinio raštingumo programoms, patvirtintoms Lietuvos Respublikos švietimo ir mokslo ministro 2007 m. kovo 29 d. įsakymu Nr. ISAK-555 ,,Dėl Reikalavimų mokytojų kompiuterinio raštingumo programoms patvirtinimo“;</w:t>
      </w:r>
    </w:p>
    <w:p w:rsidR="00486231" w:rsidRDefault="00486231" w:rsidP="00486231">
      <w:pPr>
        <w:ind w:left="60" w:firstLine="1236"/>
        <w:jc w:val="both"/>
        <w:rPr>
          <w:noProof w:val="0"/>
          <w:lang w:val="lt-LT"/>
        </w:rPr>
      </w:pPr>
      <w:r>
        <w:rPr>
          <w:noProof w:val="0"/>
          <w:lang w:val="lt-LT"/>
        </w:rPr>
        <w:t>5.5. būti išklausęs Specialiosios pedagogikos ir specialiosios psichologijos kvalifikacijos tobulinimo kursų programą, patvirtintą Lietuvos Respublikos švietimo ir mokslo ministro 2007 m. gruodžio 18 d. įsakymu Nr. ISAK -  2481 ,,Dėl Specialiosios pedagogikos ir specialiosios psichologijos kvalifikacijos tobulinimo kursų programos patvirtinimo“;</w:t>
      </w:r>
    </w:p>
    <w:p w:rsidR="00486231" w:rsidRDefault="00486231" w:rsidP="00486231">
      <w:pPr>
        <w:ind w:left="60" w:firstLine="1236"/>
        <w:jc w:val="both"/>
        <w:rPr>
          <w:noProof w:val="0"/>
          <w:lang w:val="lt-LT"/>
        </w:rPr>
      </w:pPr>
      <w:r>
        <w:rPr>
          <w:noProof w:val="0"/>
          <w:lang w:val="lt-LT"/>
        </w:rPr>
        <w:t xml:space="preserve">5.6. dirba vadovaudamasis Lietuvos Respublikos švietimo įstatymu (Žin., 1991, Nr. 23-593; 2003, Nr. 63-2853), Jungtinių Tautų vaiko teisių konvencija, ratifikuota 1995 m. liepos 3 d.  Lietuvos Respublikos įstatymu Nr. I -983 (Žin., 1995, Nr.60-1501) Lietuvos Respublikos Vyriausybės nutarimais, Lietuvos Respublikos švietimo ir mokslo ministerijos teisės aktais, reglamentuojančiais ikimokyklinio amžiaus vaikų ugdymą, Mokyklos nuostatais, Mokyklos darbo tvarkos taisyklėmis bei šiuo pareigybės aprašymu. </w:t>
      </w:r>
    </w:p>
    <w:p w:rsidR="00486231" w:rsidRDefault="00486231" w:rsidP="00047378">
      <w:pPr>
        <w:jc w:val="both"/>
        <w:rPr>
          <w:noProof w:val="0"/>
          <w:lang w:val="lt-LT"/>
        </w:rPr>
      </w:pPr>
    </w:p>
    <w:p w:rsidR="00B1736A" w:rsidRDefault="00B1736A" w:rsidP="00047378">
      <w:pPr>
        <w:jc w:val="both"/>
        <w:rPr>
          <w:noProof w:val="0"/>
          <w:lang w:val="lt-LT"/>
        </w:rPr>
      </w:pPr>
    </w:p>
    <w:p w:rsidR="00486231" w:rsidRDefault="00486231" w:rsidP="00486231">
      <w:pPr>
        <w:jc w:val="both"/>
        <w:rPr>
          <w:b/>
          <w:noProof w:val="0"/>
          <w:lang w:val="lt-LT"/>
        </w:rPr>
      </w:pPr>
    </w:p>
    <w:p w:rsidR="00486231" w:rsidRPr="00D06ED6" w:rsidRDefault="00486231" w:rsidP="00D06ED6">
      <w:pPr>
        <w:pStyle w:val="Sraopastraipa"/>
        <w:numPr>
          <w:ilvl w:val="0"/>
          <w:numId w:val="1"/>
        </w:numPr>
        <w:autoSpaceDE w:val="0"/>
        <w:autoSpaceDN w:val="0"/>
        <w:adjustRightInd w:val="0"/>
        <w:spacing w:line="225" w:lineRule="atLeast"/>
        <w:jc w:val="center"/>
        <w:rPr>
          <w:b/>
          <w:bCs/>
          <w:color w:val="000000"/>
        </w:rPr>
      </w:pPr>
      <w:r w:rsidRPr="00D06ED6">
        <w:rPr>
          <w:b/>
          <w:bCs/>
          <w:color w:val="000000"/>
        </w:rPr>
        <w:lastRenderedPageBreak/>
        <w:t>MENINIO UGDYMO MOKYTOJO FUNKCIJOS</w:t>
      </w:r>
    </w:p>
    <w:p w:rsidR="00486231" w:rsidRDefault="00486231" w:rsidP="00486231">
      <w:pPr>
        <w:autoSpaceDE w:val="0"/>
        <w:autoSpaceDN w:val="0"/>
        <w:adjustRightInd w:val="0"/>
        <w:spacing w:line="225" w:lineRule="atLeast"/>
        <w:jc w:val="center"/>
        <w:rPr>
          <w:b/>
          <w:bCs/>
          <w:noProof w:val="0"/>
          <w:color w:val="000000"/>
          <w:lang w:val="lt-LT"/>
        </w:rPr>
      </w:pPr>
    </w:p>
    <w:p w:rsidR="00486231" w:rsidRDefault="00486231" w:rsidP="00486231">
      <w:pPr>
        <w:autoSpaceDE w:val="0"/>
        <w:autoSpaceDN w:val="0"/>
        <w:adjustRightInd w:val="0"/>
        <w:ind w:left="60" w:firstLine="1236"/>
        <w:jc w:val="both"/>
        <w:rPr>
          <w:noProof w:val="0"/>
          <w:lang w:val="lt-LT"/>
        </w:rPr>
      </w:pPr>
      <w:r>
        <w:rPr>
          <w:noProof w:val="0"/>
          <w:lang w:val="lt-LT"/>
        </w:rPr>
        <w:t>6. Meninio ugdymo mokytojas ugdydamas vaikus, vykdo šiais funkcijas:</w:t>
      </w:r>
    </w:p>
    <w:p w:rsidR="00486231" w:rsidRDefault="00486231" w:rsidP="00486231">
      <w:pPr>
        <w:autoSpaceDE w:val="0"/>
        <w:autoSpaceDN w:val="0"/>
        <w:adjustRightInd w:val="0"/>
        <w:ind w:left="60" w:firstLine="1236"/>
        <w:jc w:val="both"/>
        <w:rPr>
          <w:noProof w:val="0"/>
          <w:lang w:val="lt-LT"/>
        </w:rPr>
      </w:pPr>
      <w:r>
        <w:rPr>
          <w:noProof w:val="0"/>
          <w:lang w:val="lt-LT"/>
        </w:rPr>
        <w:t>6.1. sudaro optimalias sąlygas vaikų meninei saviraiškai ir elementariai muzikinei kūrybai;</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6.2. meninio ugdymo tikslų siekia sudarydamas atitinkančias vaikų amžiaus psichologinius ypatumus pedagogines sąlygas: susipažįsta su individualiais vaiko meniniais gebėjimais, patirtimi ir kuria turtingą, įvairią muzikinę aplinką;</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6.3. atrenka ugdymo būdus ir metodus įvairioms meninės veiklos formoms ir rūšims;</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 xml:space="preserve">6.4. kaupia metodines priemones, skatinančias aktyvią meninę veiklą (muzikos instrumentai, </w:t>
      </w:r>
      <w:proofErr w:type="spellStart"/>
      <w:r>
        <w:rPr>
          <w:noProof w:val="0"/>
          <w:lang w:val="lt-LT"/>
        </w:rPr>
        <w:t>audio</w:t>
      </w:r>
      <w:proofErr w:type="spellEnd"/>
      <w:r>
        <w:rPr>
          <w:noProof w:val="0"/>
          <w:lang w:val="lt-LT"/>
        </w:rPr>
        <w:t xml:space="preserve">, </w:t>
      </w:r>
      <w:proofErr w:type="spellStart"/>
      <w:r>
        <w:rPr>
          <w:noProof w:val="0"/>
          <w:lang w:val="lt-LT"/>
        </w:rPr>
        <w:t>video</w:t>
      </w:r>
      <w:proofErr w:type="spellEnd"/>
      <w:r>
        <w:rPr>
          <w:noProof w:val="0"/>
          <w:lang w:val="lt-LT"/>
        </w:rPr>
        <w:t xml:space="preserve"> įrašai, žaislai, paveikslai ir kt.), tausoja muzikinį inventorių;</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6.5. meninę veiklą skatina įvairiomis formomis: muzikos valandėlėmis, savarankišku muzikavimu, švenčių, popiečių, vakaronių rengimu, muzikos pritaikymu įvairioje kitoje veikloje;</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6.6. reguliariai rengia gamtos ritmo kalendorines darbo, tradicines šventes, popietes, vakarones vaikams;</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6.7. muzikinę veiklą organizuoja tik patikrinus jų balsų diapazonus, muzikinę klausą;</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6.8. labai gabiems muzikai vaikams sudaro sąlygas platesniam ir gilesniam jų muzikiniam lavinimui, parenkant sudėtingesnius muzikos kūrinius, skiriant papildomą laiką individualiam bei grupiniam darbui;</w:t>
      </w:r>
    </w:p>
    <w:p w:rsidR="00486231" w:rsidRDefault="00486231" w:rsidP="00486231">
      <w:pPr>
        <w:tabs>
          <w:tab w:val="left" w:pos="709"/>
        </w:tabs>
        <w:autoSpaceDE w:val="0"/>
        <w:autoSpaceDN w:val="0"/>
        <w:adjustRightInd w:val="0"/>
        <w:ind w:left="60"/>
        <w:jc w:val="both"/>
        <w:rPr>
          <w:noProof w:val="0"/>
          <w:lang w:val="lt-LT"/>
        </w:rPr>
      </w:pPr>
      <w:r>
        <w:rPr>
          <w:noProof w:val="0"/>
          <w:lang w:val="lt-LT"/>
        </w:rPr>
        <w:tab/>
      </w:r>
      <w:r>
        <w:rPr>
          <w:noProof w:val="0"/>
          <w:lang w:val="lt-LT"/>
        </w:rPr>
        <w:tab/>
        <w:t xml:space="preserve">6.9. labai gabius muzikai vaikus ruošia apžiūroms, konkursams, festivaliams; </w:t>
      </w:r>
    </w:p>
    <w:p w:rsidR="00486231" w:rsidRDefault="00486231" w:rsidP="00486231">
      <w:pPr>
        <w:autoSpaceDE w:val="0"/>
        <w:autoSpaceDN w:val="0"/>
        <w:adjustRightInd w:val="0"/>
        <w:ind w:left="60" w:firstLine="1236"/>
        <w:jc w:val="both"/>
        <w:rPr>
          <w:noProof w:val="0"/>
          <w:lang w:val="lt-LT"/>
        </w:rPr>
      </w:pPr>
      <w:r>
        <w:rPr>
          <w:noProof w:val="0"/>
          <w:lang w:val="lt-LT"/>
        </w:rPr>
        <w:t>6.10. prireikus dalyvauja rengiant individualias vaikų ugdymo(</w:t>
      </w:r>
      <w:proofErr w:type="spellStart"/>
      <w:r>
        <w:rPr>
          <w:noProof w:val="0"/>
          <w:lang w:val="lt-LT"/>
        </w:rPr>
        <w:t>si</w:t>
      </w:r>
      <w:proofErr w:type="spellEnd"/>
      <w:r>
        <w:rPr>
          <w:noProof w:val="0"/>
          <w:lang w:val="lt-LT"/>
        </w:rPr>
        <w:t>) programas;</w:t>
      </w:r>
    </w:p>
    <w:p w:rsidR="00486231" w:rsidRDefault="00486231" w:rsidP="00486231">
      <w:pPr>
        <w:autoSpaceDE w:val="0"/>
        <w:autoSpaceDN w:val="0"/>
        <w:adjustRightInd w:val="0"/>
        <w:ind w:left="60" w:firstLine="1236"/>
        <w:jc w:val="both"/>
        <w:rPr>
          <w:noProof w:val="0"/>
          <w:lang w:val="lt-LT"/>
        </w:rPr>
      </w:pPr>
      <w:r>
        <w:rPr>
          <w:noProof w:val="0"/>
          <w:lang w:val="lt-LT"/>
        </w:rPr>
        <w:t>6.11. bendradarbiauja su grupių</w:t>
      </w:r>
      <w:r w:rsidRPr="00486231">
        <w:rPr>
          <w:noProof w:val="0"/>
          <w:lang w:val="lt-LT"/>
        </w:rPr>
        <w:t xml:space="preserve"> </w:t>
      </w:r>
      <w:r>
        <w:rPr>
          <w:noProof w:val="0"/>
          <w:lang w:val="lt-LT"/>
        </w:rPr>
        <w:t>ikimokyklinio ir priešmokyklinio ugdymo mokytojais  planuojant ugdomąją veiklą, padeda parengti pramogų, vakaronių, švenčių ir kitų renginių scenarijus;</w:t>
      </w:r>
    </w:p>
    <w:p w:rsidR="00486231" w:rsidRDefault="00486231" w:rsidP="00486231">
      <w:pPr>
        <w:autoSpaceDE w:val="0"/>
        <w:autoSpaceDN w:val="0"/>
        <w:adjustRightInd w:val="0"/>
        <w:ind w:left="60" w:firstLine="1236"/>
        <w:jc w:val="both"/>
        <w:rPr>
          <w:noProof w:val="0"/>
          <w:lang w:val="lt-LT"/>
        </w:rPr>
      </w:pPr>
      <w:r>
        <w:rPr>
          <w:noProof w:val="0"/>
          <w:lang w:val="lt-LT"/>
        </w:rPr>
        <w:t>6.12. sistemingai vertina, fiksuoja vaikų daromą pažangą, apie vaikų meninio ugdymo pasiekimus informuoja tėvus (globėjus);</w:t>
      </w:r>
    </w:p>
    <w:p w:rsidR="00486231" w:rsidRDefault="00486231" w:rsidP="00486231">
      <w:pPr>
        <w:autoSpaceDE w:val="0"/>
        <w:autoSpaceDN w:val="0"/>
        <w:adjustRightInd w:val="0"/>
        <w:ind w:left="60" w:firstLine="1236"/>
        <w:jc w:val="both"/>
        <w:rPr>
          <w:noProof w:val="0"/>
          <w:lang w:val="lt-LT"/>
        </w:rPr>
      </w:pPr>
      <w:r>
        <w:rPr>
          <w:noProof w:val="0"/>
          <w:lang w:val="lt-LT"/>
        </w:rPr>
        <w:t>6.13. laiku pildo privalomą dokumentaciją;</w:t>
      </w:r>
    </w:p>
    <w:p w:rsidR="00486231" w:rsidRDefault="00486231" w:rsidP="00486231">
      <w:pPr>
        <w:autoSpaceDE w:val="0"/>
        <w:autoSpaceDN w:val="0"/>
        <w:adjustRightInd w:val="0"/>
        <w:ind w:left="60" w:firstLine="1236"/>
        <w:jc w:val="both"/>
        <w:rPr>
          <w:noProof w:val="0"/>
          <w:lang w:val="lt-LT"/>
        </w:rPr>
      </w:pPr>
      <w:r>
        <w:rPr>
          <w:noProof w:val="0"/>
          <w:lang w:val="lt-LT"/>
        </w:rPr>
        <w:t>6.14. inicijuoja ir/ar dalyvauja bendruose Mokyklos renginiuose, projektuose ir kitose veiklose;</w:t>
      </w:r>
    </w:p>
    <w:p w:rsidR="00486231" w:rsidRDefault="00486231" w:rsidP="00486231">
      <w:pPr>
        <w:autoSpaceDE w:val="0"/>
        <w:autoSpaceDN w:val="0"/>
        <w:adjustRightInd w:val="0"/>
        <w:ind w:left="60"/>
        <w:jc w:val="both"/>
        <w:rPr>
          <w:noProof w:val="0"/>
          <w:lang w:val="lt-LT"/>
        </w:rPr>
      </w:pPr>
      <w:r>
        <w:rPr>
          <w:noProof w:val="0"/>
          <w:lang w:val="lt-LT"/>
        </w:rPr>
        <w:tab/>
        <w:t>6.15. rūpinasi Mokykloje vykstančių šventiniu renginių organizavimu, salės puošimu;</w:t>
      </w:r>
    </w:p>
    <w:p w:rsidR="00486231" w:rsidRDefault="00486231" w:rsidP="00486231">
      <w:pPr>
        <w:autoSpaceDE w:val="0"/>
        <w:autoSpaceDN w:val="0"/>
        <w:adjustRightInd w:val="0"/>
        <w:ind w:left="60"/>
        <w:jc w:val="both"/>
        <w:rPr>
          <w:noProof w:val="0"/>
          <w:lang w:val="lt-LT"/>
        </w:rPr>
      </w:pPr>
      <w:r>
        <w:rPr>
          <w:noProof w:val="0"/>
          <w:lang w:val="lt-LT"/>
        </w:rPr>
        <w:tab/>
        <w:t>6.16. gamina ir kaupia vaizdines priemones, skatinančias aktyvią muzikinę veiklą;</w:t>
      </w:r>
    </w:p>
    <w:p w:rsidR="00486231" w:rsidRDefault="00486231" w:rsidP="00486231">
      <w:pPr>
        <w:autoSpaceDE w:val="0"/>
        <w:autoSpaceDN w:val="0"/>
        <w:adjustRightInd w:val="0"/>
        <w:ind w:left="60" w:firstLine="1236"/>
        <w:jc w:val="both"/>
        <w:rPr>
          <w:noProof w:val="0"/>
          <w:lang w:val="lt-LT"/>
        </w:rPr>
      </w:pPr>
      <w:r>
        <w:rPr>
          <w:noProof w:val="0"/>
          <w:lang w:val="lt-LT"/>
        </w:rPr>
        <w:t>6.17. dalyvauja Mokyklos veiklose: posėdžiuose, pasitarimuose, Mokyklos ikimokyklinio ugdymo programos rengime, vidaus audito vykdyme ir kt.</w:t>
      </w:r>
    </w:p>
    <w:p w:rsidR="00486231" w:rsidRDefault="00486231" w:rsidP="00486231">
      <w:pPr>
        <w:autoSpaceDE w:val="0"/>
        <w:autoSpaceDN w:val="0"/>
        <w:adjustRightInd w:val="0"/>
        <w:ind w:firstLine="1296"/>
        <w:jc w:val="both"/>
        <w:rPr>
          <w:noProof w:val="0"/>
          <w:lang w:val="lt-LT"/>
        </w:rPr>
      </w:pPr>
      <w:r>
        <w:rPr>
          <w:noProof w:val="0"/>
          <w:lang w:val="lt-LT"/>
        </w:rPr>
        <w:t xml:space="preserve">6.18. užtikrina savo darbo kokybę; </w:t>
      </w:r>
    </w:p>
    <w:p w:rsidR="00486231" w:rsidRDefault="00486231" w:rsidP="00486231">
      <w:pPr>
        <w:autoSpaceDE w:val="0"/>
        <w:autoSpaceDN w:val="0"/>
        <w:adjustRightInd w:val="0"/>
        <w:ind w:left="60" w:firstLine="1236"/>
        <w:jc w:val="both"/>
        <w:rPr>
          <w:noProof w:val="0"/>
          <w:lang w:val="lt-LT"/>
        </w:rPr>
      </w:pPr>
      <w:r>
        <w:rPr>
          <w:noProof w:val="0"/>
          <w:lang w:val="lt-LT"/>
        </w:rPr>
        <w:t>6.19. bendradarbiauja su šeima, skatina tėvus (globėjus) dalyvauti meninėje veikloje, derina šeimos ir įstaigos interesus, didina vaiko kokybiško ugdymo(</w:t>
      </w:r>
      <w:proofErr w:type="spellStart"/>
      <w:r>
        <w:rPr>
          <w:noProof w:val="0"/>
          <w:lang w:val="lt-LT"/>
        </w:rPr>
        <w:t>si</w:t>
      </w:r>
      <w:proofErr w:type="spellEnd"/>
      <w:r>
        <w:rPr>
          <w:noProof w:val="0"/>
          <w:lang w:val="lt-LT"/>
        </w:rPr>
        <w:t>) galimybes;</w:t>
      </w:r>
    </w:p>
    <w:p w:rsidR="00486231" w:rsidRDefault="00486231" w:rsidP="00486231">
      <w:pPr>
        <w:autoSpaceDE w:val="0"/>
        <w:autoSpaceDN w:val="0"/>
        <w:adjustRightInd w:val="0"/>
        <w:ind w:left="709" w:firstLine="587"/>
        <w:jc w:val="both"/>
        <w:rPr>
          <w:noProof w:val="0"/>
          <w:lang w:val="lt-LT"/>
        </w:rPr>
      </w:pPr>
      <w:r>
        <w:rPr>
          <w:noProof w:val="0"/>
          <w:lang w:val="lt-LT"/>
        </w:rPr>
        <w:t>6.20. bendradarbiauja su kitais, Mokykloje dirbančiais specialistais (ikimokyklinio ir priešmokyklinio ugdymo mokytojais, logopedu ir kt.) vaikų meninio ugdymo klausimais;</w:t>
      </w:r>
    </w:p>
    <w:p w:rsidR="00486231" w:rsidRDefault="00486231" w:rsidP="00486231">
      <w:pPr>
        <w:ind w:left="60" w:firstLine="1236"/>
        <w:jc w:val="both"/>
        <w:rPr>
          <w:noProof w:val="0"/>
          <w:lang w:val="lt-LT"/>
        </w:rPr>
      </w:pPr>
      <w:r>
        <w:rPr>
          <w:noProof w:val="0"/>
          <w:lang w:val="lt-LT"/>
        </w:rPr>
        <w:t>6.21. laikosi įstaigos darbo tvarkos, darbo saugos, priešgaisrinės saugos ir civilinės saugos taisyklių;</w:t>
      </w:r>
    </w:p>
    <w:p w:rsidR="00486231" w:rsidRDefault="00486231" w:rsidP="00486231">
      <w:pPr>
        <w:ind w:left="60"/>
        <w:jc w:val="both"/>
        <w:rPr>
          <w:noProof w:val="0"/>
          <w:lang w:val="lt-LT"/>
        </w:rPr>
      </w:pPr>
      <w:r>
        <w:rPr>
          <w:noProof w:val="0"/>
          <w:lang w:val="lt-LT"/>
        </w:rPr>
        <w:tab/>
        <w:t>6.22. užtikrina asmens duomenų apsaugą teisės aktų nustatyta ir Mokyklos duomenų apsaugos tvarka: korektišką gautų duomenų panaudojimą, turimos informacijos konfidencialumą;</w:t>
      </w:r>
    </w:p>
    <w:p w:rsidR="00486231" w:rsidRDefault="00486231" w:rsidP="00486231">
      <w:pPr>
        <w:ind w:left="60"/>
        <w:jc w:val="both"/>
        <w:rPr>
          <w:noProof w:val="0"/>
          <w:lang w:val="lt-LT"/>
        </w:rPr>
      </w:pPr>
      <w:r>
        <w:rPr>
          <w:noProof w:val="0"/>
          <w:lang w:val="lt-LT"/>
        </w:rPr>
        <w:tab/>
        <w:t>6.23. organizuoja vaikų turizmo renginius vadovaujantis Mokyklos vaikų turizmo renginių organizavimo aprašu;</w:t>
      </w:r>
    </w:p>
    <w:p w:rsidR="00486231" w:rsidRDefault="00486231" w:rsidP="00486231">
      <w:pPr>
        <w:ind w:left="60"/>
        <w:jc w:val="both"/>
        <w:rPr>
          <w:noProof w:val="0"/>
          <w:lang w:val="lt-LT"/>
        </w:rPr>
      </w:pPr>
      <w:r>
        <w:rPr>
          <w:noProof w:val="0"/>
          <w:lang w:val="lt-LT"/>
        </w:rPr>
        <w:tab/>
        <w:t>6.24. tikrinasi sveikatą teisės aktų nustatyta tvarka;</w:t>
      </w:r>
    </w:p>
    <w:p w:rsidR="00486231" w:rsidRDefault="00486231" w:rsidP="00486231">
      <w:pPr>
        <w:autoSpaceDE w:val="0"/>
        <w:autoSpaceDN w:val="0"/>
        <w:adjustRightInd w:val="0"/>
        <w:ind w:firstLine="1296"/>
        <w:jc w:val="both"/>
        <w:rPr>
          <w:noProof w:val="0"/>
          <w:lang w:val="lt-LT"/>
        </w:rPr>
      </w:pPr>
      <w:r>
        <w:rPr>
          <w:noProof w:val="0"/>
          <w:lang w:val="lt-LT"/>
        </w:rPr>
        <w:t>6.25. informuoja Mokyklos administraciją apie vaiko turimas socialines ar sveikatos problemas, pastebėtą ar įtariamą vaiko teisių pažeidimą;</w:t>
      </w:r>
    </w:p>
    <w:p w:rsidR="00486231" w:rsidRDefault="00486231" w:rsidP="00486231">
      <w:pPr>
        <w:ind w:firstLine="1296"/>
        <w:jc w:val="both"/>
      </w:pPr>
      <w:r>
        <w:rPr>
          <w:noProof w:val="0"/>
          <w:lang w:val="lt-LT"/>
        </w:rPr>
        <w:t>6.26. nuolat vykdo smurto ir patyčių prevenciją</w:t>
      </w:r>
      <w:r>
        <w:rPr>
          <w:lang w:val="lt-LT"/>
        </w:rPr>
        <w:t xml:space="preserve"> vadovaujantis patvirtintu Smurto ir </w:t>
      </w:r>
      <w:r>
        <w:rPr>
          <w:bCs/>
          <w:lang w:eastAsia="lt-LT"/>
        </w:rPr>
        <w:t xml:space="preserve">patyčių prevencijos ir intervencijos vykdymo tvarkos aprašu, imasi priemonių kad laiku vaikui būtų suteikta pagalba. </w:t>
      </w:r>
    </w:p>
    <w:p w:rsidR="00486231" w:rsidRDefault="00486231" w:rsidP="00486231">
      <w:pPr>
        <w:autoSpaceDE w:val="0"/>
        <w:autoSpaceDN w:val="0"/>
        <w:adjustRightInd w:val="0"/>
        <w:ind w:left="60" w:firstLine="1236"/>
        <w:jc w:val="both"/>
        <w:rPr>
          <w:noProof w:val="0"/>
          <w:lang w:val="lt-LT"/>
        </w:rPr>
      </w:pPr>
      <w:r>
        <w:rPr>
          <w:noProof w:val="0"/>
          <w:lang w:val="lt-LT"/>
        </w:rPr>
        <w:lastRenderedPageBreak/>
        <w:t>6.27. nuolat tobulina savo kvalifikaciją.</w:t>
      </w:r>
    </w:p>
    <w:p w:rsidR="00D46678" w:rsidRDefault="00D46678" w:rsidP="00D46678">
      <w:pPr>
        <w:autoSpaceDE w:val="0"/>
        <w:autoSpaceDN w:val="0"/>
        <w:adjustRightInd w:val="0"/>
        <w:jc w:val="both"/>
        <w:rPr>
          <w:noProof w:val="0"/>
          <w:lang w:val="lt-LT"/>
        </w:rPr>
      </w:pPr>
    </w:p>
    <w:p w:rsidR="00D46678" w:rsidRDefault="00D46678" w:rsidP="00D46678">
      <w:pPr>
        <w:autoSpaceDE w:val="0"/>
        <w:autoSpaceDN w:val="0"/>
        <w:adjustRightInd w:val="0"/>
        <w:jc w:val="center"/>
        <w:rPr>
          <w:noProof w:val="0"/>
          <w:lang w:val="lt-LT"/>
        </w:rPr>
      </w:pPr>
      <w:r>
        <w:rPr>
          <w:noProof w:val="0"/>
          <w:lang w:val="lt-LT"/>
        </w:rPr>
        <w:t>_________________________</w:t>
      </w:r>
    </w:p>
    <w:p w:rsidR="00486231" w:rsidRDefault="00486231" w:rsidP="00486231">
      <w:pPr>
        <w:pStyle w:val="Sraopastraipa"/>
        <w:spacing w:before="360"/>
        <w:ind w:left="1440"/>
        <w:rPr>
          <w:rFonts w:ascii="Palemonas" w:hAnsi="Palemonas"/>
          <w:bCs/>
        </w:rPr>
      </w:pPr>
      <w:r>
        <w:rPr>
          <w:rFonts w:ascii="Palemonas" w:hAnsi="Palemonas"/>
          <w:bCs/>
        </w:rPr>
        <w:t>Su pareigybės aprašymu susipažinau, įsipareigoju vykdyti:</w:t>
      </w:r>
    </w:p>
    <w:p w:rsidR="00486231" w:rsidRDefault="00486231" w:rsidP="00486231">
      <w:pPr>
        <w:autoSpaceDE w:val="0"/>
        <w:autoSpaceDN w:val="0"/>
        <w:adjustRightInd w:val="0"/>
        <w:rPr>
          <w:b/>
          <w:bCs/>
          <w:noProof w:val="0"/>
          <w:color w:val="000000"/>
          <w:lang w:val="lt-LT"/>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998"/>
        <w:gridCol w:w="1956"/>
        <w:gridCol w:w="2941"/>
      </w:tblGrid>
      <w:tr w:rsidR="00B1736A" w:rsidRPr="00B1736A" w:rsidTr="00B1736A">
        <w:tc>
          <w:tcPr>
            <w:tcW w:w="675" w:type="dxa"/>
            <w:tcBorders>
              <w:top w:val="single" w:sz="4" w:space="0" w:color="000000"/>
              <w:left w:val="single" w:sz="4" w:space="0" w:color="000000"/>
              <w:bottom w:val="single" w:sz="4" w:space="0" w:color="000000"/>
              <w:right w:val="single" w:sz="4" w:space="0" w:color="auto"/>
            </w:tcBorders>
            <w:hideMark/>
          </w:tcPr>
          <w:p w:rsidR="00B1736A" w:rsidRPr="00B1736A" w:rsidRDefault="00B1736A" w:rsidP="00B1736A">
            <w:pPr>
              <w:jc w:val="center"/>
              <w:rPr>
                <w:noProof w:val="0"/>
                <w:lang w:val="en-GB" w:eastAsia="lt-LT"/>
              </w:rPr>
            </w:pPr>
            <w:proofErr w:type="spellStart"/>
            <w:r w:rsidRPr="00B1736A">
              <w:rPr>
                <w:noProof w:val="0"/>
                <w:lang w:val="en-GB" w:eastAsia="lt-LT"/>
              </w:rPr>
              <w:t>Eil</w:t>
            </w:r>
            <w:proofErr w:type="spellEnd"/>
            <w:r w:rsidRPr="00B1736A">
              <w:rPr>
                <w:noProof w:val="0"/>
                <w:lang w:val="en-GB" w:eastAsia="lt-LT"/>
              </w:rPr>
              <w:t>. Nr.</w:t>
            </w:r>
          </w:p>
        </w:tc>
        <w:tc>
          <w:tcPr>
            <w:tcW w:w="3998" w:type="dxa"/>
            <w:tcBorders>
              <w:top w:val="single" w:sz="4" w:space="0" w:color="000000"/>
              <w:left w:val="single" w:sz="4" w:space="0" w:color="auto"/>
              <w:bottom w:val="single" w:sz="4" w:space="0" w:color="000000"/>
              <w:right w:val="single" w:sz="4" w:space="0" w:color="000000"/>
            </w:tcBorders>
            <w:hideMark/>
          </w:tcPr>
          <w:p w:rsidR="00B1736A" w:rsidRPr="00B1736A" w:rsidRDefault="00B1736A" w:rsidP="00B1736A">
            <w:pPr>
              <w:jc w:val="center"/>
              <w:rPr>
                <w:noProof w:val="0"/>
                <w:lang w:val="en-GB" w:eastAsia="lt-LT"/>
              </w:rPr>
            </w:pPr>
            <w:proofErr w:type="spellStart"/>
            <w:r w:rsidRPr="00B1736A">
              <w:rPr>
                <w:noProof w:val="0"/>
                <w:lang w:val="en-GB" w:eastAsia="lt-LT"/>
              </w:rPr>
              <w:t>Vardas</w:t>
            </w:r>
            <w:proofErr w:type="spellEnd"/>
            <w:r w:rsidRPr="00B1736A">
              <w:rPr>
                <w:noProof w:val="0"/>
                <w:lang w:val="en-GB" w:eastAsia="lt-LT"/>
              </w:rPr>
              <w:t xml:space="preserve">, </w:t>
            </w:r>
            <w:proofErr w:type="spellStart"/>
            <w:r w:rsidRPr="00B1736A">
              <w:rPr>
                <w:noProof w:val="0"/>
                <w:lang w:val="en-GB" w:eastAsia="lt-LT"/>
              </w:rPr>
              <w:t>pavardė</w:t>
            </w:r>
            <w:proofErr w:type="spellEnd"/>
          </w:p>
        </w:tc>
        <w:tc>
          <w:tcPr>
            <w:tcW w:w="1956" w:type="dxa"/>
            <w:tcBorders>
              <w:top w:val="single" w:sz="4" w:space="0" w:color="000000"/>
              <w:left w:val="single" w:sz="4" w:space="0" w:color="000000"/>
              <w:bottom w:val="single" w:sz="4" w:space="0" w:color="000000"/>
              <w:right w:val="single" w:sz="4" w:space="0" w:color="000000"/>
            </w:tcBorders>
            <w:hideMark/>
          </w:tcPr>
          <w:p w:rsidR="00B1736A" w:rsidRPr="00B1736A" w:rsidRDefault="00B1736A" w:rsidP="00B1736A">
            <w:pPr>
              <w:jc w:val="center"/>
              <w:rPr>
                <w:noProof w:val="0"/>
                <w:lang w:val="en-GB" w:eastAsia="lt-LT"/>
              </w:rPr>
            </w:pPr>
            <w:proofErr w:type="spellStart"/>
            <w:r w:rsidRPr="00B1736A">
              <w:rPr>
                <w:noProof w:val="0"/>
                <w:lang w:val="en-GB" w:eastAsia="lt-LT"/>
              </w:rPr>
              <w:t>Parašas</w:t>
            </w:r>
            <w:proofErr w:type="spellEnd"/>
          </w:p>
        </w:tc>
        <w:tc>
          <w:tcPr>
            <w:tcW w:w="2941" w:type="dxa"/>
            <w:tcBorders>
              <w:top w:val="single" w:sz="4" w:space="0" w:color="000000"/>
              <w:left w:val="single" w:sz="4" w:space="0" w:color="000000"/>
              <w:bottom w:val="single" w:sz="4" w:space="0" w:color="000000"/>
              <w:right w:val="single" w:sz="4" w:space="0" w:color="000000"/>
            </w:tcBorders>
            <w:hideMark/>
          </w:tcPr>
          <w:p w:rsidR="00B1736A" w:rsidRPr="00B1736A" w:rsidRDefault="00B1736A" w:rsidP="00B1736A">
            <w:pPr>
              <w:jc w:val="center"/>
              <w:rPr>
                <w:noProof w:val="0"/>
                <w:lang w:val="en-GB" w:eastAsia="lt-LT"/>
              </w:rPr>
            </w:pPr>
            <w:r w:rsidRPr="00B1736A">
              <w:rPr>
                <w:noProof w:val="0"/>
                <w:lang w:val="en-GB" w:eastAsia="lt-LT"/>
              </w:rPr>
              <w:t>Data</w:t>
            </w:r>
          </w:p>
        </w:tc>
      </w:tr>
      <w:tr w:rsidR="00B1736A" w:rsidRPr="00B1736A" w:rsidTr="00B1736A">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B1736A" w:rsidRPr="00B1736A" w:rsidRDefault="00B1736A" w:rsidP="00B1736A">
            <w:pPr>
              <w:jc w:val="center"/>
              <w:rPr>
                <w:noProof w:val="0"/>
                <w:lang w:val="en-GB" w:eastAsia="lt-LT"/>
              </w:rPr>
            </w:pPr>
            <w:r w:rsidRPr="00B1736A">
              <w:rPr>
                <w:noProof w:val="0"/>
                <w:lang w:val="en-GB" w:eastAsia="lt-LT"/>
              </w:rPr>
              <w:t>1.</w:t>
            </w:r>
          </w:p>
        </w:tc>
        <w:tc>
          <w:tcPr>
            <w:tcW w:w="3998" w:type="dxa"/>
            <w:tcBorders>
              <w:top w:val="single" w:sz="4" w:space="0" w:color="000000"/>
              <w:left w:val="single" w:sz="4" w:space="0" w:color="auto"/>
              <w:bottom w:val="single" w:sz="4" w:space="0" w:color="000000"/>
              <w:right w:val="single" w:sz="4" w:space="0" w:color="000000"/>
            </w:tcBorders>
          </w:tcPr>
          <w:p w:rsidR="00B1736A" w:rsidRPr="00B1736A" w:rsidRDefault="00B1736A" w:rsidP="00B1736A">
            <w:pPr>
              <w:rPr>
                <w:noProof w:val="0"/>
                <w:lang w:val="en-GB" w:eastAsia="lt-LT"/>
              </w:rPr>
            </w:pPr>
          </w:p>
          <w:p w:rsidR="00B1736A" w:rsidRPr="00B1736A" w:rsidRDefault="00B1736A" w:rsidP="00B1736A">
            <w:pPr>
              <w:rPr>
                <w:noProof w:val="0"/>
                <w:lang w:val="en-GB" w:eastAsia="lt-LT"/>
              </w:rPr>
            </w:pPr>
          </w:p>
        </w:tc>
        <w:tc>
          <w:tcPr>
            <w:tcW w:w="1956"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c>
          <w:tcPr>
            <w:tcW w:w="2941"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r>
      <w:tr w:rsidR="00B1736A" w:rsidRPr="00B1736A" w:rsidTr="00B1736A">
        <w:trPr>
          <w:trHeight w:val="510"/>
        </w:trPr>
        <w:tc>
          <w:tcPr>
            <w:tcW w:w="675" w:type="dxa"/>
            <w:tcBorders>
              <w:top w:val="single" w:sz="4" w:space="0" w:color="000000"/>
              <w:left w:val="single" w:sz="4" w:space="0" w:color="000000"/>
              <w:bottom w:val="single" w:sz="4" w:space="0" w:color="000000"/>
              <w:right w:val="single" w:sz="4" w:space="0" w:color="auto"/>
            </w:tcBorders>
          </w:tcPr>
          <w:p w:rsidR="00B1736A" w:rsidRPr="00B1736A" w:rsidRDefault="00B1736A" w:rsidP="00B1736A">
            <w:pPr>
              <w:jc w:val="center"/>
              <w:rPr>
                <w:noProof w:val="0"/>
                <w:lang w:val="en-GB" w:eastAsia="lt-LT"/>
              </w:rPr>
            </w:pPr>
            <w:r w:rsidRPr="00B1736A">
              <w:rPr>
                <w:noProof w:val="0"/>
                <w:lang w:val="en-GB" w:eastAsia="lt-LT"/>
              </w:rPr>
              <w:t>2.</w:t>
            </w:r>
          </w:p>
          <w:p w:rsidR="00B1736A" w:rsidRPr="00B1736A" w:rsidRDefault="00B1736A" w:rsidP="00B1736A">
            <w:pPr>
              <w:jc w:val="center"/>
              <w:rPr>
                <w:noProof w:val="0"/>
                <w:lang w:val="en-GB" w:eastAsia="lt-LT"/>
              </w:rPr>
            </w:pPr>
          </w:p>
        </w:tc>
        <w:tc>
          <w:tcPr>
            <w:tcW w:w="3998" w:type="dxa"/>
            <w:tcBorders>
              <w:top w:val="single" w:sz="4" w:space="0" w:color="000000"/>
              <w:left w:val="single" w:sz="4" w:space="0" w:color="auto"/>
              <w:bottom w:val="single" w:sz="4" w:space="0" w:color="000000"/>
              <w:right w:val="single" w:sz="4" w:space="0" w:color="000000"/>
            </w:tcBorders>
          </w:tcPr>
          <w:p w:rsidR="00B1736A" w:rsidRPr="00B1736A" w:rsidRDefault="00B1736A" w:rsidP="00B1736A">
            <w:pPr>
              <w:rPr>
                <w:noProof w:val="0"/>
                <w:lang w:val="en-GB" w:eastAsia="lt-LT"/>
              </w:rPr>
            </w:pPr>
          </w:p>
          <w:p w:rsidR="00B1736A" w:rsidRPr="00B1736A" w:rsidRDefault="00B1736A" w:rsidP="00B1736A">
            <w:pPr>
              <w:rPr>
                <w:noProof w:val="0"/>
                <w:lang w:val="en-GB" w:eastAsia="lt-LT"/>
              </w:rPr>
            </w:pPr>
          </w:p>
        </w:tc>
        <w:tc>
          <w:tcPr>
            <w:tcW w:w="1956"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c>
          <w:tcPr>
            <w:tcW w:w="2941"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r>
      <w:tr w:rsidR="00B1736A" w:rsidRPr="00B1736A" w:rsidTr="00B1736A">
        <w:trPr>
          <w:trHeight w:val="510"/>
        </w:trPr>
        <w:tc>
          <w:tcPr>
            <w:tcW w:w="675" w:type="dxa"/>
            <w:tcBorders>
              <w:top w:val="single" w:sz="4" w:space="0" w:color="000000"/>
              <w:left w:val="single" w:sz="4" w:space="0" w:color="000000"/>
              <w:bottom w:val="single" w:sz="4" w:space="0" w:color="000000"/>
              <w:right w:val="single" w:sz="4" w:space="0" w:color="auto"/>
            </w:tcBorders>
            <w:hideMark/>
          </w:tcPr>
          <w:p w:rsidR="00B1736A" w:rsidRPr="00B1736A" w:rsidRDefault="00B1736A" w:rsidP="00B1736A">
            <w:pPr>
              <w:jc w:val="center"/>
              <w:rPr>
                <w:noProof w:val="0"/>
                <w:lang w:val="en-GB" w:eastAsia="lt-LT"/>
              </w:rPr>
            </w:pPr>
            <w:r w:rsidRPr="00B1736A">
              <w:rPr>
                <w:noProof w:val="0"/>
                <w:lang w:val="en-GB" w:eastAsia="lt-LT"/>
              </w:rPr>
              <w:t>3.</w:t>
            </w:r>
          </w:p>
        </w:tc>
        <w:tc>
          <w:tcPr>
            <w:tcW w:w="3998" w:type="dxa"/>
            <w:tcBorders>
              <w:top w:val="single" w:sz="4" w:space="0" w:color="000000"/>
              <w:left w:val="single" w:sz="4" w:space="0" w:color="auto"/>
              <w:bottom w:val="single" w:sz="4" w:space="0" w:color="000000"/>
              <w:right w:val="single" w:sz="4" w:space="0" w:color="000000"/>
            </w:tcBorders>
          </w:tcPr>
          <w:p w:rsidR="00B1736A" w:rsidRPr="00B1736A" w:rsidRDefault="00B1736A" w:rsidP="00B1736A">
            <w:pPr>
              <w:rPr>
                <w:noProof w:val="0"/>
                <w:lang w:val="en-GB" w:eastAsia="lt-LT"/>
              </w:rPr>
            </w:pPr>
          </w:p>
          <w:p w:rsidR="00B1736A" w:rsidRPr="00B1736A" w:rsidRDefault="00B1736A" w:rsidP="00B1736A">
            <w:pPr>
              <w:rPr>
                <w:noProof w:val="0"/>
                <w:lang w:val="en-GB" w:eastAsia="lt-LT"/>
              </w:rPr>
            </w:pPr>
          </w:p>
        </w:tc>
        <w:tc>
          <w:tcPr>
            <w:tcW w:w="1956"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c>
          <w:tcPr>
            <w:tcW w:w="2941" w:type="dxa"/>
            <w:tcBorders>
              <w:top w:val="single" w:sz="4" w:space="0" w:color="000000"/>
              <w:left w:val="single" w:sz="4" w:space="0" w:color="000000"/>
              <w:bottom w:val="single" w:sz="4" w:space="0" w:color="000000"/>
              <w:right w:val="single" w:sz="4" w:space="0" w:color="000000"/>
            </w:tcBorders>
          </w:tcPr>
          <w:p w:rsidR="00B1736A" w:rsidRPr="00B1736A" w:rsidRDefault="00B1736A" w:rsidP="00B1736A">
            <w:pPr>
              <w:rPr>
                <w:noProof w:val="0"/>
                <w:lang w:val="en-GB" w:eastAsia="lt-LT"/>
              </w:rPr>
            </w:pPr>
          </w:p>
        </w:tc>
      </w:tr>
    </w:tbl>
    <w:p w:rsidR="00B855B9" w:rsidRDefault="00B855B9"/>
    <w:sectPr w:rsidR="00B855B9" w:rsidSect="0004737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FB1" w:rsidRDefault="00441FB1" w:rsidP="00047378">
      <w:r>
        <w:separator/>
      </w:r>
    </w:p>
  </w:endnote>
  <w:endnote w:type="continuationSeparator" w:id="0">
    <w:p w:rsidR="00441FB1" w:rsidRDefault="00441FB1" w:rsidP="0004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Palemona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FB1" w:rsidRDefault="00441FB1" w:rsidP="00047378">
      <w:r>
        <w:separator/>
      </w:r>
    </w:p>
  </w:footnote>
  <w:footnote w:type="continuationSeparator" w:id="0">
    <w:p w:rsidR="00441FB1" w:rsidRDefault="00441FB1" w:rsidP="0004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4301763"/>
      <w:docPartObj>
        <w:docPartGallery w:val="Page Numbers (Top of Page)"/>
        <w:docPartUnique/>
      </w:docPartObj>
    </w:sdtPr>
    <w:sdtEndPr/>
    <w:sdtContent>
      <w:p w:rsidR="00047378" w:rsidRDefault="00047378">
        <w:pPr>
          <w:pStyle w:val="Antrats"/>
          <w:jc w:val="center"/>
        </w:pPr>
        <w:r>
          <w:fldChar w:fldCharType="begin"/>
        </w:r>
        <w:r>
          <w:instrText>PAGE   \* MERGEFORMAT</w:instrText>
        </w:r>
        <w:r>
          <w:fldChar w:fldCharType="separate"/>
        </w:r>
        <w:r>
          <w:rPr>
            <w:lang w:val="lt-LT"/>
          </w:rPr>
          <w:t>2</w:t>
        </w:r>
        <w:r>
          <w:fldChar w:fldCharType="end"/>
        </w:r>
      </w:p>
    </w:sdtContent>
  </w:sdt>
  <w:p w:rsidR="00047378" w:rsidRDefault="0004737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A15E0"/>
    <w:multiLevelType w:val="hybridMultilevel"/>
    <w:tmpl w:val="FEC801B4"/>
    <w:lvl w:ilvl="0" w:tplc="3F60AE2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31"/>
    <w:rsid w:val="00047378"/>
    <w:rsid w:val="00095E35"/>
    <w:rsid w:val="002F6ECA"/>
    <w:rsid w:val="00441FB1"/>
    <w:rsid w:val="00486231"/>
    <w:rsid w:val="004E3C68"/>
    <w:rsid w:val="005B46DB"/>
    <w:rsid w:val="00B1736A"/>
    <w:rsid w:val="00B855B9"/>
    <w:rsid w:val="00D06ED6"/>
    <w:rsid w:val="00D45BD7"/>
    <w:rsid w:val="00D466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80E1"/>
  <w15:chartTrackingRefBased/>
  <w15:docId w15:val="{5B5C0DBA-8587-4B04-8F28-A5417DB4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86231"/>
    <w:pPr>
      <w:spacing w:after="0" w:line="240" w:lineRule="auto"/>
    </w:pPr>
    <w:rPr>
      <w:rFonts w:ascii="Times New Roman" w:eastAsia="Times New Roman" w:hAnsi="Times New Roman" w:cs="Times New Roman"/>
      <w:noProof/>
      <w:sz w:val="24"/>
      <w:szCs w:val="24"/>
      <w:lang w:val="fr-FR"/>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86231"/>
    <w:pPr>
      <w:ind w:left="720"/>
      <w:contextualSpacing/>
    </w:pPr>
    <w:rPr>
      <w:noProof w:val="0"/>
      <w:lang w:val="lt-LT" w:eastAsia="lt-LT"/>
    </w:rPr>
  </w:style>
  <w:style w:type="paragraph" w:styleId="Antrats">
    <w:name w:val="header"/>
    <w:basedOn w:val="prastasis"/>
    <w:link w:val="AntratsDiagrama"/>
    <w:uiPriority w:val="99"/>
    <w:unhideWhenUsed/>
    <w:rsid w:val="00047378"/>
    <w:pPr>
      <w:tabs>
        <w:tab w:val="center" w:pos="4819"/>
        <w:tab w:val="right" w:pos="9638"/>
      </w:tabs>
    </w:pPr>
  </w:style>
  <w:style w:type="character" w:customStyle="1" w:styleId="AntratsDiagrama">
    <w:name w:val="Antraštės Diagrama"/>
    <w:basedOn w:val="Numatytasispastraiposriftas"/>
    <w:link w:val="Antrats"/>
    <w:uiPriority w:val="99"/>
    <w:rsid w:val="00047378"/>
    <w:rPr>
      <w:rFonts w:ascii="Times New Roman" w:eastAsia="Times New Roman" w:hAnsi="Times New Roman" w:cs="Times New Roman"/>
      <w:noProof/>
      <w:sz w:val="24"/>
      <w:szCs w:val="24"/>
      <w:lang w:val="fr-FR"/>
    </w:rPr>
  </w:style>
  <w:style w:type="paragraph" w:styleId="Porat">
    <w:name w:val="footer"/>
    <w:basedOn w:val="prastasis"/>
    <w:link w:val="PoratDiagrama"/>
    <w:uiPriority w:val="99"/>
    <w:unhideWhenUsed/>
    <w:rsid w:val="00047378"/>
    <w:pPr>
      <w:tabs>
        <w:tab w:val="center" w:pos="4819"/>
        <w:tab w:val="right" w:pos="9638"/>
      </w:tabs>
    </w:pPr>
  </w:style>
  <w:style w:type="character" w:customStyle="1" w:styleId="PoratDiagrama">
    <w:name w:val="Poraštė Diagrama"/>
    <w:basedOn w:val="Numatytasispastraiposriftas"/>
    <w:link w:val="Porat"/>
    <w:uiPriority w:val="99"/>
    <w:rsid w:val="00047378"/>
    <w:rPr>
      <w:rFonts w:ascii="Times New Roman" w:eastAsia="Times New Roman" w:hAnsi="Times New Roman" w:cs="Times New Roman"/>
      <w:noProof/>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9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3850</Words>
  <Characters>2196</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AusraT</dc:creator>
  <cp:keywords/>
  <dc:description/>
  <cp:lastModifiedBy>AusraT</cp:lastModifiedBy>
  <cp:revision>10</cp:revision>
  <cp:lastPrinted>2019-06-04T12:21:00Z</cp:lastPrinted>
  <dcterms:created xsi:type="dcterms:W3CDTF">2019-04-10T10:25:00Z</dcterms:created>
  <dcterms:modified xsi:type="dcterms:W3CDTF">2019-06-04T12:23:00Z</dcterms:modified>
</cp:coreProperties>
</file>